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EA877" w14:textId="2C47E982" w:rsidR="00BE1D53" w:rsidRPr="005B51E8" w:rsidRDefault="00BE1D53" w:rsidP="00BE1D53">
      <w:pPr>
        <w:rPr>
          <w:rFonts w:ascii="BNPP Sans Light" w:hAnsi="BNPP Sans Light"/>
          <w:b/>
        </w:rPr>
      </w:pPr>
      <w:r w:rsidRPr="005B51E8">
        <w:rPr>
          <w:rFonts w:ascii="BNPP Sans Light" w:hAnsi="BNPP Sans Light"/>
          <w:b/>
        </w:rPr>
        <w:t xml:space="preserve">Bruxelles, le </w:t>
      </w:r>
      <w:r w:rsidR="00217D69">
        <w:rPr>
          <w:rFonts w:ascii="BNPP Sans Light" w:hAnsi="BNPP Sans Light"/>
          <w:b/>
        </w:rPr>
        <w:t>7</w:t>
      </w:r>
      <w:r w:rsidRPr="005B51E8">
        <w:rPr>
          <w:rFonts w:ascii="BNPP Sans Light" w:hAnsi="BNPP Sans Light"/>
          <w:b/>
        </w:rPr>
        <w:t xml:space="preserve"> juillet 2023.</w:t>
      </w:r>
    </w:p>
    <w:p w14:paraId="4B6D02ED" w14:textId="77777777" w:rsidR="00D96457" w:rsidRPr="00D96457" w:rsidRDefault="00D96457" w:rsidP="008C4C01">
      <w:pPr>
        <w:rPr>
          <w:rFonts w:ascii="BNPP Sans" w:hAnsi="BNPP Sans"/>
          <w:b/>
          <w:sz w:val="20"/>
        </w:rPr>
      </w:pPr>
    </w:p>
    <w:p w14:paraId="301625E0" w14:textId="77777777" w:rsidR="00B138C5" w:rsidRDefault="00991878" w:rsidP="008C4C01">
      <w:r>
        <w:rPr>
          <w:noProof/>
          <w:lang w:val="en-GB" w:eastAsia="en-GB"/>
        </w:rPr>
        <mc:AlternateContent>
          <mc:Choice Requires="wps">
            <w:drawing>
              <wp:inline distT="0" distB="0" distL="0" distR="0" wp14:anchorId="69917900" wp14:editId="0CDBE446">
                <wp:extent cx="6480000" cy="270000"/>
                <wp:effectExtent l="0" t="0" r="0" b="0"/>
                <wp:docPr id="6" name="Rectangle 6"/>
                <wp:cNvGraphicFramePr/>
                <a:graphic xmlns:a="http://schemas.openxmlformats.org/drawingml/2006/main">
                  <a:graphicData uri="http://schemas.microsoft.com/office/word/2010/wordprocessingShape">
                    <wps:wsp>
                      <wps:cNvSpPr/>
                      <wps:spPr>
                        <a:xfrm>
                          <a:off x="0" y="0"/>
                          <a:ext cx="6480000" cy="270000"/>
                        </a:xfrm>
                        <a:prstGeom prst="rect">
                          <a:avLst/>
                        </a:prstGeom>
                        <a:solidFill>
                          <a:schemeClr val="accent1"/>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D49EF3" w14:textId="77777777" w:rsidR="00991878" w:rsidRDefault="00991878" w:rsidP="008C4C01">
                            <w:pPr>
                              <w:pStyle w:val="Subtitle"/>
                            </w:pPr>
                            <w:r>
                              <w:t>communiqu</w:t>
                            </w:r>
                            <w:r w:rsidR="00E91104" w:rsidRPr="008F6EB0">
                              <w:t>É</w:t>
                            </w:r>
                            <w:r>
                              <w:t xml:space="preserve"> de presse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69917900" id="Rectangle 6" o:spid="_x0000_s1026" style="width:510.2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" fillcolor="#00a76c [3204]" stroked="f" strokeweight=".25pt">
                <v:textbox inset="0,0,0,0">
                  <w:txbxContent>
                    <w:p w14:paraId="6CD49EF3" w14:textId="77777777" w:rsidR="00991878" w:rsidRDefault="00991878" w:rsidP="008C4C01">
                      <w:pPr>
                        <w:pStyle w:val="Subtitle"/>
                      </w:pPr>
                      <w:r>
                        <w:t>communiqu</w:t>
                      </w:r>
                      <w:r w:rsidR="00E91104" w:rsidRPr="008F6EB0">
                        <w:t>É</w:t>
                      </w:r>
                      <w:r>
                        <w:t xml:space="preserve"> de presse</w:t>
                      </w:r>
                    </w:p>
                  </w:txbxContent>
                </v:textbox>
                <w10:anchorlock/>
              </v:rect>
            </w:pict>
          </mc:Fallback>
        </mc:AlternateContent>
      </w:r>
    </w:p>
    <w:p w14:paraId="121F4096" w14:textId="77777777" w:rsidR="00E215DF" w:rsidRDefault="00E215DF" w:rsidP="00860DC9">
      <w:pPr>
        <w:pStyle w:val="Title"/>
      </w:pPr>
    </w:p>
    <w:p w14:paraId="7382885B" w14:textId="6EAC153E" w:rsidR="00BE1D53" w:rsidRPr="005B51E8" w:rsidRDefault="00BE1D53" w:rsidP="003E3ED0">
      <w:pPr>
        <w:autoSpaceDE w:val="0"/>
        <w:autoSpaceDN w:val="0"/>
        <w:adjustRightInd w:val="0"/>
        <w:spacing w:line="240" w:lineRule="auto"/>
        <w:jc w:val="center"/>
        <w:rPr>
          <w:rFonts w:ascii="BNPP Sans" w:eastAsiaTheme="majorEastAsia" w:hAnsi="BNPP Sans" w:cstheme="majorBidi"/>
          <w:b/>
          <w:spacing w:val="5"/>
          <w:kern w:val="28"/>
          <w:sz w:val="36"/>
          <w:szCs w:val="36"/>
        </w:rPr>
      </w:pPr>
      <w:r w:rsidRPr="005B51E8">
        <w:rPr>
          <w:rFonts w:ascii="BNPP Sans" w:eastAsiaTheme="majorEastAsia" w:hAnsi="BNPP Sans" w:cstheme="majorBidi"/>
          <w:b/>
          <w:spacing w:val="5"/>
          <w:kern w:val="28"/>
          <w:sz w:val="36"/>
          <w:szCs w:val="36"/>
        </w:rPr>
        <w:t>LES R</w:t>
      </w:r>
      <w:r w:rsidR="003E3ED0">
        <w:rPr>
          <w:rFonts w:ascii="BNPP Sans" w:eastAsiaTheme="majorEastAsia" w:hAnsi="BNPP Sans" w:cstheme="majorBidi"/>
          <w:b/>
          <w:spacing w:val="5"/>
          <w:kern w:val="28"/>
          <w:sz w:val="36"/>
          <w:szCs w:val="36"/>
        </w:rPr>
        <w:t>É</w:t>
      </w:r>
      <w:r w:rsidRPr="005B51E8">
        <w:rPr>
          <w:rFonts w:ascii="BNPP Sans" w:eastAsiaTheme="majorEastAsia" w:hAnsi="BNPP Sans" w:cstheme="majorBidi"/>
          <w:b/>
          <w:spacing w:val="5"/>
          <w:kern w:val="28"/>
          <w:sz w:val="36"/>
          <w:szCs w:val="36"/>
        </w:rPr>
        <w:t xml:space="preserve">SIDENCES </w:t>
      </w:r>
      <w:r w:rsidR="00157694">
        <w:rPr>
          <w:rFonts w:ascii="BNPP Sans" w:eastAsiaTheme="majorEastAsia" w:hAnsi="BNPP Sans" w:cstheme="majorBidi"/>
          <w:b/>
          <w:spacing w:val="5"/>
          <w:kern w:val="28"/>
          <w:sz w:val="36"/>
          <w:szCs w:val="36"/>
        </w:rPr>
        <w:t xml:space="preserve">SECONDAIRES </w:t>
      </w:r>
      <w:r w:rsidR="003E3ED0">
        <w:rPr>
          <w:rFonts w:ascii="BNPP Sans" w:eastAsiaTheme="majorEastAsia" w:hAnsi="BNPP Sans" w:cstheme="majorBidi"/>
          <w:b/>
          <w:spacing w:val="5"/>
          <w:kern w:val="28"/>
          <w:sz w:val="36"/>
          <w:szCs w:val="36"/>
        </w:rPr>
        <w:t xml:space="preserve">RESTENT </w:t>
      </w:r>
      <w:r w:rsidR="005D7913">
        <w:rPr>
          <w:rFonts w:ascii="BNPP Sans" w:eastAsiaTheme="majorEastAsia" w:hAnsi="BNPP Sans" w:cstheme="majorBidi"/>
          <w:b/>
          <w:spacing w:val="5"/>
          <w:kern w:val="28"/>
          <w:sz w:val="36"/>
          <w:szCs w:val="36"/>
        </w:rPr>
        <w:t xml:space="preserve">                                              </w:t>
      </w:r>
      <w:r w:rsidR="003E3ED0">
        <w:rPr>
          <w:rFonts w:ascii="BNPP Sans" w:eastAsiaTheme="majorEastAsia" w:hAnsi="BNPP Sans" w:cstheme="majorBidi"/>
          <w:b/>
          <w:spacing w:val="5"/>
          <w:kern w:val="28"/>
          <w:sz w:val="36"/>
          <w:szCs w:val="36"/>
        </w:rPr>
        <w:t>UN INVESTISSEMENT ATTRACTIF</w:t>
      </w:r>
    </w:p>
    <w:p w14:paraId="11F69E92" w14:textId="77777777" w:rsidR="00D50196" w:rsidRPr="003E3ED0" w:rsidRDefault="00D50196" w:rsidP="00D50196">
      <w:pPr>
        <w:autoSpaceDE w:val="0"/>
        <w:autoSpaceDN w:val="0"/>
        <w:adjustRightInd w:val="0"/>
        <w:rPr>
          <w:rFonts w:ascii="BNPP Sans Light" w:hAnsi="BNPP Sans Light" w:cs="Arial"/>
          <w:b/>
          <w:bCs/>
          <w:iCs/>
          <w:szCs w:val="24"/>
        </w:rPr>
      </w:pPr>
    </w:p>
    <w:p w14:paraId="2B04677D" w14:textId="5A7E3890" w:rsidR="00BE1D53" w:rsidRPr="005B51E8" w:rsidRDefault="00BE1D53" w:rsidP="00BE1D53">
      <w:pPr>
        <w:autoSpaceDE w:val="0"/>
        <w:autoSpaceDN w:val="0"/>
        <w:adjustRightInd w:val="0"/>
        <w:rPr>
          <w:rFonts w:ascii="BNPP Sans Light" w:hAnsi="BNPP Sans Light" w:cs="Arial"/>
          <w:b/>
          <w:bCs/>
          <w:i/>
          <w:szCs w:val="24"/>
        </w:rPr>
      </w:pPr>
      <w:r w:rsidRPr="005B51E8">
        <w:rPr>
          <w:rFonts w:ascii="BNPP Sans Light" w:hAnsi="BNPP Sans Light" w:cs="Arial"/>
          <w:b/>
          <w:bCs/>
          <w:i/>
          <w:szCs w:val="24"/>
        </w:rPr>
        <w:t xml:space="preserve">Malgré la hausse du coût de la vie en 2022 suite à la crise de l’énergie et à l’accélération de l’inflation, les Belges considèrent qu’une résidence </w:t>
      </w:r>
      <w:r w:rsidR="00232F39">
        <w:rPr>
          <w:rFonts w:ascii="BNPP Sans Light" w:hAnsi="BNPP Sans Light" w:cs="Arial"/>
          <w:b/>
          <w:bCs/>
          <w:i/>
          <w:szCs w:val="24"/>
        </w:rPr>
        <w:t xml:space="preserve">secondaire </w:t>
      </w:r>
      <w:r w:rsidRPr="005B51E8">
        <w:rPr>
          <w:rFonts w:ascii="BNPP Sans Light" w:hAnsi="BNPP Sans Light" w:cs="Arial"/>
          <w:b/>
          <w:bCs/>
          <w:i/>
          <w:szCs w:val="24"/>
        </w:rPr>
        <w:t>reste une excellence opportunité d’investissement. Alors que la majorité des résidences secondaires détenues en Belgique sont vouées à être mises en location, nous avons constaté ces dernières années une hausse des achats de biens immobiliers à l’étranger. D’après les chiffres du « Baromètre de</w:t>
      </w:r>
      <w:r w:rsidR="00C972EB">
        <w:rPr>
          <w:rFonts w:ascii="BNPP Sans Light" w:hAnsi="BNPP Sans Light" w:cs="Arial"/>
          <w:b/>
          <w:bCs/>
          <w:i/>
          <w:szCs w:val="24"/>
        </w:rPr>
        <w:t xml:space="preserve"> la</w:t>
      </w:r>
      <w:r w:rsidRPr="005B51E8">
        <w:rPr>
          <w:rFonts w:ascii="BNPP Sans Light" w:hAnsi="BNPP Sans Light" w:cs="Arial"/>
          <w:b/>
          <w:bCs/>
          <w:i/>
          <w:szCs w:val="24"/>
        </w:rPr>
        <w:t xml:space="preserve"> Seconde Résidence »</w:t>
      </w:r>
      <w:r>
        <w:rPr>
          <w:rFonts w:ascii="BNPP Sans Light" w:hAnsi="BNPP Sans Light" w:cs="Arial"/>
          <w:b/>
          <w:bCs/>
          <w:i/>
          <w:szCs w:val="24"/>
        </w:rPr>
        <w:t>,</w:t>
      </w:r>
      <w:r w:rsidRPr="005B51E8">
        <w:rPr>
          <w:rFonts w:ascii="BNPP Sans Light" w:hAnsi="BNPP Sans Light" w:cs="Arial"/>
          <w:b/>
          <w:bCs/>
          <w:i/>
          <w:szCs w:val="24"/>
        </w:rPr>
        <w:t xml:space="preserve"> établi chaque année par BNP Paribas Fortis, les chiffres se sont normalisés à la côte</w:t>
      </w:r>
      <w:r w:rsidR="00E648F7" w:rsidRPr="005B51E8">
        <w:rPr>
          <w:rFonts w:ascii="BNPP Sans Light" w:hAnsi="BNPP Sans Light" w:cs="Arial"/>
          <w:b/>
          <w:bCs/>
          <w:i/>
          <w:szCs w:val="24"/>
        </w:rPr>
        <w:t xml:space="preserve"> </w:t>
      </w:r>
      <w:r w:rsidRPr="005B51E8">
        <w:rPr>
          <w:rFonts w:ascii="BNPP Sans Light" w:hAnsi="BNPP Sans Light" w:cs="Arial"/>
          <w:b/>
          <w:bCs/>
          <w:i/>
          <w:szCs w:val="24"/>
        </w:rPr>
        <w:t xml:space="preserve">belge après une année 2021 exceptionnelle, tandis que la part des Ardennes dans les crédits hypothécaires accordés pour une seconde résidence a doublé en deux ans. </w:t>
      </w:r>
    </w:p>
    <w:p w14:paraId="28C801ED" w14:textId="77777777" w:rsidR="00D50196" w:rsidRPr="00157694" w:rsidRDefault="00D50196" w:rsidP="00D50196">
      <w:pPr>
        <w:rPr>
          <w:rFonts w:ascii="BNPP Sans Light" w:hAnsi="BNPP Sans Light"/>
          <w:lang w:val="fr-BE"/>
        </w:rPr>
      </w:pPr>
    </w:p>
    <w:p w14:paraId="13CA64F7" w14:textId="440C9706" w:rsidR="00BE1D53" w:rsidRPr="005B51E8" w:rsidRDefault="00BE1D53" w:rsidP="00BE1D53">
      <w:pPr>
        <w:rPr>
          <w:rFonts w:ascii="BNPP Sans Light" w:hAnsi="BNPP Sans Light"/>
        </w:rPr>
      </w:pPr>
      <w:r w:rsidRPr="005B51E8">
        <w:rPr>
          <w:rFonts w:ascii="BNPP Sans Light" w:hAnsi="BNPP Sans Light"/>
        </w:rPr>
        <w:t xml:space="preserve">Chaque année, le nombre de multipropriétaires augmente, tant pour des biens situés en Belgique qu’à l’étranger, où la hausse est particulièrement forte. </w:t>
      </w:r>
      <w:r w:rsidR="00217D69">
        <w:rPr>
          <w:rFonts w:ascii="BNPP Sans Light" w:hAnsi="BNPP Sans Light"/>
        </w:rPr>
        <w:t xml:space="preserve">Fin </w:t>
      </w:r>
      <w:r w:rsidRPr="005B51E8">
        <w:rPr>
          <w:rFonts w:ascii="BNPP Sans Light" w:hAnsi="BNPP Sans Light"/>
        </w:rPr>
        <w:t xml:space="preserve"> 2022, il s’agissait d’environ 1,19</w:t>
      </w:r>
      <w:r w:rsidR="00C972EB">
        <w:rPr>
          <w:rFonts w:ascii="Calibri" w:hAnsi="Calibri" w:cs="Calibri"/>
        </w:rPr>
        <w:t> </w:t>
      </w:r>
      <w:r w:rsidRPr="005B51E8">
        <w:rPr>
          <w:rFonts w:ascii="BNPP Sans Light" w:hAnsi="BNPP Sans Light"/>
        </w:rPr>
        <w:t>million</w:t>
      </w:r>
      <w:r w:rsidRPr="005B51E8">
        <w:rPr>
          <w:rStyle w:val="FootnoteReference"/>
          <w:rFonts w:ascii="BNPP Sans Light" w:hAnsi="BNPP Sans Light"/>
        </w:rPr>
        <w:footnoteReference w:id="1"/>
      </w:r>
      <w:r w:rsidRPr="005B51E8">
        <w:rPr>
          <w:rFonts w:ascii="BNPP Sans Light" w:hAnsi="BNPP Sans Light"/>
        </w:rPr>
        <w:t xml:space="preserve"> de Belges. </w:t>
      </w:r>
      <w:r w:rsidR="00217D69">
        <w:rPr>
          <w:rFonts w:ascii="BNPP Sans Light" w:hAnsi="BNPP Sans Light"/>
        </w:rPr>
        <w:t>L’an dernier, p</w:t>
      </w:r>
      <w:r w:rsidRPr="005B51E8">
        <w:rPr>
          <w:rFonts w:ascii="BNPP Sans Light" w:hAnsi="BNPP Sans Light"/>
        </w:rPr>
        <w:t xml:space="preserve">lus d’un crédit hypothécaire sur trois (38%) accordé par BNP Paribas Fortis </w:t>
      </w:r>
      <w:r w:rsidR="00217D69">
        <w:rPr>
          <w:rFonts w:ascii="BNPP Sans Light" w:hAnsi="BNPP Sans Light"/>
        </w:rPr>
        <w:t>était</w:t>
      </w:r>
      <w:r w:rsidR="00217D69" w:rsidRPr="005B51E8">
        <w:rPr>
          <w:rFonts w:ascii="BNPP Sans Light" w:hAnsi="BNPP Sans Light"/>
        </w:rPr>
        <w:t xml:space="preserve"> </w:t>
      </w:r>
      <w:r w:rsidRPr="005B51E8">
        <w:rPr>
          <w:rFonts w:ascii="BNPP Sans Light" w:hAnsi="BNPP Sans Light"/>
        </w:rPr>
        <w:t xml:space="preserve">destiné à financer l’achat d’une seconde résidence. Ce ratio est le même qu’il y a un an, sachant que le nombre de dossiers concernant les résidences secondaires a diminué de 9%. Au cours de la période 2018-2022, le nombre de dossiers </w:t>
      </w:r>
      <w:r>
        <w:rPr>
          <w:rFonts w:ascii="BNPP Sans Light" w:hAnsi="BNPP Sans Light"/>
        </w:rPr>
        <w:t>a</w:t>
      </w:r>
      <w:r w:rsidRPr="005B51E8">
        <w:rPr>
          <w:rFonts w:ascii="BNPP Sans Light" w:hAnsi="BNPP Sans Light"/>
        </w:rPr>
        <w:t xml:space="preserve"> </w:t>
      </w:r>
      <w:r w:rsidR="00E648F7">
        <w:rPr>
          <w:rFonts w:ascii="BNPP Sans Light" w:hAnsi="BNPP Sans Light"/>
        </w:rPr>
        <w:t xml:space="preserve">cependant </w:t>
      </w:r>
      <w:r w:rsidRPr="005B51E8">
        <w:rPr>
          <w:rFonts w:ascii="BNPP Sans Light" w:hAnsi="BNPP Sans Light"/>
        </w:rPr>
        <w:t xml:space="preserve">augmenté de plus de 7%, ce qui indique que les secondes résidences restent considérées comme un </w:t>
      </w:r>
      <w:r w:rsidRPr="005B51E8">
        <w:rPr>
          <w:rFonts w:ascii="BNPP Sans Light" w:hAnsi="BNPP Sans Light"/>
          <w:b/>
          <w:bCs/>
        </w:rPr>
        <w:t>investissement intéressant</w:t>
      </w:r>
      <w:r w:rsidRPr="005B51E8">
        <w:rPr>
          <w:rFonts w:ascii="BNPP Sans Light" w:hAnsi="BNPP Sans Light"/>
        </w:rPr>
        <w:t>.</w:t>
      </w:r>
    </w:p>
    <w:p w14:paraId="5690012A" w14:textId="77777777" w:rsidR="00BE1D53" w:rsidRPr="005B51E8" w:rsidRDefault="00BE1D53" w:rsidP="00BE1D53">
      <w:pPr>
        <w:rPr>
          <w:rFonts w:ascii="BNPP Sans Light" w:hAnsi="BNPP Sans Light"/>
        </w:rPr>
      </w:pPr>
    </w:p>
    <w:p w14:paraId="6D899341" w14:textId="77777777" w:rsidR="00BE1D53" w:rsidRPr="005B51E8" w:rsidRDefault="00BE1D53" w:rsidP="00BE1D53">
      <w:pPr>
        <w:rPr>
          <w:rFonts w:ascii="BNPP Sans Light" w:hAnsi="BNPP Sans Light"/>
        </w:rPr>
      </w:pPr>
      <w:r w:rsidRPr="005B51E8">
        <w:rPr>
          <w:rFonts w:ascii="BNPP Sans Light" w:hAnsi="BNPP Sans Light"/>
        </w:rPr>
        <w:t xml:space="preserve">Le </w:t>
      </w:r>
      <w:r w:rsidRPr="005B51E8">
        <w:rPr>
          <w:rFonts w:ascii="BNPP Sans Light" w:hAnsi="BNPP Sans Light"/>
          <w:b/>
          <w:bCs/>
        </w:rPr>
        <w:t>montant moyen emprunté pour financer une seconde résidence</w:t>
      </w:r>
      <w:r w:rsidRPr="005B51E8">
        <w:rPr>
          <w:rFonts w:ascii="BNPP Sans Light" w:hAnsi="BNPP Sans Light"/>
        </w:rPr>
        <w:t xml:space="preserve"> augmente depuis des années. En 2022, il se montait à 236.700 euros, ce qui représente une hausse de 7% en un an et de 19% par rapport à 2018. Ce montant correspond au montant moyen emprunté chez BNP Paribas Fortis (235.000 euros) pour l’achat d’un bien.</w:t>
      </w:r>
    </w:p>
    <w:p w14:paraId="51E30D23" w14:textId="77777777" w:rsidR="00BE1D53" w:rsidRPr="005B51E8" w:rsidRDefault="00BE1D53" w:rsidP="00BE1D53">
      <w:pPr>
        <w:rPr>
          <w:rFonts w:ascii="BNPP Sans Light" w:hAnsi="BNPP Sans Light"/>
        </w:rPr>
      </w:pPr>
    </w:p>
    <w:p w14:paraId="0E7BE08B" w14:textId="77777777" w:rsidR="00BE1D53" w:rsidRPr="005B51E8" w:rsidRDefault="00BE1D53" w:rsidP="00BE1D53">
      <w:pPr>
        <w:rPr>
          <w:rFonts w:ascii="BNPP Sans Light" w:hAnsi="BNPP Sans Light"/>
          <w:b/>
          <w:bCs/>
        </w:rPr>
      </w:pPr>
      <w:r w:rsidRPr="005B51E8">
        <w:rPr>
          <w:rFonts w:ascii="BNPP Sans Light" w:hAnsi="BNPP Sans Light"/>
          <w:b/>
          <w:bCs/>
        </w:rPr>
        <w:t>Belgique : hausse constante dans les Ardennes</w:t>
      </w:r>
    </w:p>
    <w:p w14:paraId="64B6A57F" w14:textId="320A9FF7" w:rsidR="00BE1D53" w:rsidRPr="005B51E8" w:rsidRDefault="00BE1D53" w:rsidP="00BE1D53">
      <w:pPr>
        <w:rPr>
          <w:rFonts w:ascii="BNPP Sans Light" w:hAnsi="BNPP Sans Light"/>
        </w:rPr>
      </w:pPr>
      <w:r w:rsidRPr="005B51E8">
        <w:rPr>
          <w:rFonts w:ascii="BNPP Sans Light" w:hAnsi="BNPP Sans Light"/>
        </w:rPr>
        <w:t>Comme les années précédentes, 9 crédits sur 10 (93%) accordés en 2022 pour financer une seconde résidence étaient destinés à un achat en Belgique. 26% étaient destinés au financement d’un appartement, contre 6</w:t>
      </w:r>
      <w:r w:rsidR="00DA7327">
        <w:rPr>
          <w:rFonts w:ascii="BNPP Sans Light" w:hAnsi="BNPP Sans Light"/>
        </w:rPr>
        <w:t>8</w:t>
      </w:r>
      <w:r w:rsidRPr="005B51E8">
        <w:rPr>
          <w:rFonts w:ascii="BNPP Sans Light" w:hAnsi="BNPP Sans Light"/>
        </w:rPr>
        <w:t xml:space="preserve">% pour une maison. </w:t>
      </w:r>
    </w:p>
    <w:p w14:paraId="4DF7EBED" w14:textId="77777777" w:rsidR="00BE1D53" w:rsidRPr="005B51E8" w:rsidRDefault="00BE1D53" w:rsidP="00BE1D53">
      <w:pPr>
        <w:rPr>
          <w:rFonts w:ascii="BNPP Sans Light" w:hAnsi="BNPP Sans Light"/>
        </w:rPr>
      </w:pPr>
    </w:p>
    <w:p w14:paraId="3B22C76D" w14:textId="5EF77967" w:rsidR="00BE1D53" w:rsidRPr="005B51E8" w:rsidRDefault="00BE1D53" w:rsidP="00BE1D53">
      <w:pPr>
        <w:rPr>
          <w:rFonts w:ascii="BNPP Sans Light" w:hAnsi="BNPP Sans Light"/>
        </w:rPr>
      </w:pPr>
      <w:r w:rsidRPr="005B51E8">
        <w:rPr>
          <w:rFonts w:ascii="BNPP Sans Light" w:hAnsi="BNPP Sans Light"/>
        </w:rPr>
        <w:t xml:space="preserve">Mais pas moins de 65% des nouveaux crédits accordés en 2022 pour l’achat d’une </w:t>
      </w:r>
      <w:r w:rsidRPr="005B51E8">
        <w:rPr>
          <w:rFonts w:ascii="BNPP Sans Light" w:hAnsi="BNPP Sans Light"/>
          <w:b/>
          <w:bCs/>
        </w:rPr>
        <w:t>seconde résidence en Belgique</w:t>
      </w:r>
      <w:r w:rsidRPr="005B51E8">
        <w:rPr>
          <w:rFonts w:ascii="BNPP Sans Light" w:hAnsi="BNPP Sans Light"/>
        </w:rPr>
        <w:t xml:space="preserve"> concernaient des biens </w:t>
      </w:r>
      <w:r w:rsidRPr="005B51E8">
        <w:rPr>
          <w:rFonts w:ascii="BNPP Sans Light" w:hAnsi="BNPP Sans Light"/>
          <w:b/>
          <w:bCs/>
        </w:rPr>
        <w:t>destinés à être loués</w:t>
      </w:r>
      <w:r w:rsidRPr="005B51E8">
        <w:rPr>
          <w:rFonts w:ascii="BNPP Sans Light" w:hAnsi="BNPP Sans Light"/>
        </w:rPr>
        <w:t>. La tendance à la hausse des secondes résidences acquises en vue de les louer en Belgique est évidente depuis plusieurs années.</w:t>
      </w:r>
    </w:p>
    <w:p w14:paraId="404982C1" w14:textId="77777777" w:rsidR="00BE1D53" w:rsidRPr="005B51E8" w:rsidRDefault="00BE1D53" w:rsidP="00BE1D53">
      <w:pPr>
        <w:rPr>
          <w:rFonts w:ascii="BNPP Sans Light" w:hAnsi="BNPP Sans Light"/>
        </w:rPr>
      </w:pPr>
    </w:p>
    <w:p w14:paraId="5F29FE01" w14:textId="031E27DC" w:rsidR="00BE1D53" w:rsidRPr="005B51E8" w:rsidRDefault="00BE1D53" w:rsidP="00BE1D53">
      <w:pPr>
        <w:rPr>
          <w:rFonts w:ascii="BNPP Sans Light" w:hAnsi="BNPP Sans Light"/>
        </w:rPr>
      </w:pPr>
      <w:r w:rsidRPr="005B51E8">
        <w:rPr>
          <w:rFonts w:ascii="BNPP Sans Light" w:hAnsi="BNPP Sans Light"/>
        </w:rPr>
        <w:t xml:space="preserve">4% des crédits accordés pour l’achat d’une seconde résidence en Belgique sont destinés à une acquisition dans les </w:t>
      </w:r>
      <w:r w:rsidRPr="005B51E8">
        <w:rPr>
          <w:rFonts w:ascii="BNPP Sans Light" w:hAnsi="BNPP Sans Light"/>
          <w:b/>
          <w:bCs/>
        </w:rPr>
        <w:t>Ardennes</w:t>
      </w:r>
      <w:r w:rsidRPr="005B51E8">
        <w:rPr>
          <w:rStyle w:val="FootnoteReference"/>
          <w:rFonts w:ascii="BNPP Sans Light" w:hAnsi="BNPP Sans Light"/>
          <w:b/>
          <w:bCs/>
        </w:rPr>
        <w:footnoteReference w:id="2"/>
      </w:r>
      <w:r w:rsidRPr="005B51E8">
        <w:rPr>
          <w:rFonts w:ascii="BNPP Sans Light" w:hAnsi="BNPP Sans Light"/>
        </w:rPr>
        <w:t xml:space="preserve">, soit près du double par rapport à 2020 (+95%). </w:t>
      </w:r>
      <w:r w:rsidR="00D742A6">
        <w:rPr>
          <w:rFonts w:ascii="BNPP Sans Light" w:hAnsi="BNPP Sans Light"/>
        </w:rPr>
        <w:t>À</w:t>
      </w:r>
      <w:r w:rsidRPr="005B51E8">
        <w:rPr>
          <w:rFonts w:ascii="BNPP Sans Light" w:hAnsi="BNPP Sans Light"/>
        </w:rPr>
        <w:t xml:space="preserve"> l’instar de l’année </w:t>
      </w:r>
      <w:r w:rsidRPr="005B51E8">
        <w:rPr>
          <w:rFonts w:ascii="BNPP Sans Light" w:hAnsi="BNPP Sans Light"/>
        </w:rPr>
        <w:lastRenderedPageBreak/>
        <w:t>précédente (76%), la majorité des crédits accordés en 2022 (81%) étaient destinés au financement d’une maison. Nous avons constaté une répartition équilibrée entre les secondes résidences destinées à la location (53%) et celles destinées à un usage privé. Bastogne (12%), Verviers (4%) et Vielsalm (3,5%) sont les destinations préférées dans les Ardennes.</w:t>
      </w:r>
    </w:p>
    <w:p w14:paraId="690248AC" w14:textId="77777777" w:rsidR="00BE1D53" w:rsidRPr="005B51E8" w:rsidRDefault="00BE1D53" w:rsidP="00BE1D53">
      <w:pPr>
        <w:rPr>
          <w:rFonts w:ascii="BNPP Sans Light" w:hAnsi="BNPP Sans Light"/>
        </w:rPr>
      </w:pPr>
    </w:p>
    <w:p w14:paraId="17AAE64C" w14:textId="3C5F3F9F" w:rsidR="00BE1D53" w:rsidRPr="005B51E8" w:rsidRDefault="00BE1D53" w:rsidP="00BE1D53">
      <w:pPr>
        <w:rPr>
          <w:rFonts w:ascii="BNPP Sans Light" w:hAnsi="BNPP Sans Light"/>
        </w:rPr>
      </w:pPr>
      <w:r w:rsidRPr="005B51E8">
        <w:rPr>
          <w:rFonts w:ascii="BNPP Sans Light" w:hAnsi="BNPP Sans Light"/>
        </w:rPr>
        <w:t xml:space="preserve">Sur la </w:t>
      </w:r>
      <w:r w:rsidRPr="005B51E8">
        <w:rPr>
          <w:rFonts w:ascii="BNPP Sans Light" w:hAnsi="BNPP Sans Light"/>
          <w:b/>
          <w:bCs/>
        </w:rPr>
        <w:t>côte belge</w:t>
      </w:r>
      <w:r w:rsidRPr="005B51E8">
        <w:rPr>
          <w:rStyle w:val="FootnoteReference"/>
          <w:rFonts w:ascii="BNPP Sans Light" w:hAnsi="BNPP Sans Light"/>
          <w:b/>
          <w:bCs/>
        </w:rPr>
        <w:footnoteReference w:id="3"/>
      </w:r>
      <w:r w:rsidRPr="005B51E8">
        <w:rPr>
          <w:rFonts w:ascii="BNPP Sans Light" w:hAnsi="BNPP Sans Light"/>
        </w:rPr>
        <w:t>, par contre, six nouvelles secondes résidences sur dix (60%) étaient destinées à un usage personnel. Le nombre de crédits pour une seconde résidence</w:t>
      </w:r>
      <w:r w:rsidR="00AA1748">
        <w:rPr>
          <w:rFonts w:ascii="BNPP Sans Light" w:hAnsi="BNPP Sans Light"/>
        </w:rPr>
        <w:t xml:space="preserve"> sur le littoral</w:t>
      </w:r>
      <w:r w:rsidRPr="005B51E8">
        <w:rPr>
          <w:rFonts w:ascii="BNPP Sans Light" w:hAnsi="BNPP Sans Light"/>
        </w:rPr>
        <w:t xml:space="preserve"> a baissé d’un tiers par rapport à l’année précédente, pour atteindre 7% du total en Belgique. Les clients de BNP Paribas Fortis ont opté aussi souvent pour une maison (46%) que pour un appartement (47%). Leurs stations balnéaires préférées sont Ostende (18%), Knokke-Heist (17%) et Bruges (8%).</w:t>
      </w:r>
    </w:p>
    <w:p w14:paraId="1251B619" w14:textId="77777777" w:rsidR="00BE1D53" w:rsidRPr="005B51E8" w:rsidRDefault="00BE1D53" w:rsidP="00BE1D53">
      <w:pPr>
        <w:rPr>
          <w:rFonts w:ascii="BNPP Sans Light" w:hAnsi="BNPP Sans Light"/>
        </w:rPr>
      </w:pPr>
    </w:p>
    <w:p w14:paraId="63C3914E" w14:textId="77777777" w:rsidR="00BE1D53" w:rsidRPr="005B51E8" w:rsidRDefault="00BE1D53" w:rsidP="00BE1D53">
      <w:pPr>
        <w:rPr>
          <w:rFonts w:ascii="BNPP Sans Light" w:hAnsi="BNPP Sans Light"/>
        </w:rPr>
      </w:pPr>
      <w:r w:rsidRPr="005B51E8">
        <w:rPr>
          <w:rFonts w:ascii="BNPP Sans Light" w:hAnsi="BNPP Sans Light"/>
        </w:rPr>
        <w:t xml:space="preserve">Dans les </w:t>
      </w:r>
      <w:r w:rsidRPr="005B51E8">
        <w:rPr>
          <w:rFonts w:ascii="BNPP Sans Light" w:hAnsi="BNPP Sans Light"/>
          <w:b/>
          <w:bCs/>
        </w:rPr>
        <w:t>villes universitaires</w:t>
      </w:r>
      <w:r w:rsidRPr="005B51E8">
        <w:rPr>
          <w:rFonts w:ascii="BNPP Sans Light" w:hAnsi="BNPP Sans Light"/>
        </w:rPr>
        <w:t xml:space="preserve"> belges, entre six et huit nouveaux crédits sur dix pour des résidences secondaires étaient destinés à la location. Nous pouvons citer Bruxelles (76%), Louvain (67%), Louvain-la-Neuve (78%), Gand (70%) et Mons (75%). Particularité à </w:t>
      </w:r>
      <w:r w:rsidRPr="005B51E8">
        <w:rPr>
          <w:rFonts w:ascii="BNPP Sans Light" w:hAnsi="BNPP Sans Light"/>
          <w:b/>
          <w:bCs/>
        </w:rPr>
        <w:t>Bruxelles</w:t>
      </w:r>
      <w:r w:rsidRPr="005B51E8">
        <w:rPr>
          <w:rStyle w:val="FootnoteReference"/>
          <w:rFonts w:ascii="BNPP Sans Light" w:hAnsi="BNPP Sans Light"/>
          <w:b/>
          <w:bCs/>
        </w:rPr>
        <w:footnoteReference w:id="4"/>
      </w:r>
      <w:r w:rsidRPr="005B51E8">
        <w:rPr>
          <w:rFonts w:ascii="BNPP Sans Light" w:hAnsi="BNPP Sans Light"/>
        </w:rPr>
        <w:t> : BNP Paribas Fortis a constaté que les crédits accordés pour des résidences secondaires étaient répartis de manière équilibrée entre les maisons (48%) et les appartements (47%).</w:t>
      </w:r>
    </w:p>
    <w:p w14:paraId="60AA4E53" w14:textId="77777777" w:rsidR="00BE1D53" w:rsidRPr="005B51E8" w:rsidRDefault="00BE1D53" w:rsidP="00BE1D53">
      <w:pPr>
        <w:rPr>
          <w:rFonts w:ascii="BNPP Sans Light" w:hAnsi="BNPP Sans Light"/>
          <w:b/>
          <w:bCs/>
        </w:rPr>
      </w:pPr>
    </w:p>
    <w:p w14:paraId="008BC310" w14:textId="77777777" w:rsidR="00BE1D53" w:rsidRPr="005B51E8" w:rsidRDefault="00BE1D53" w:rsidP="00BE1D53">
      <w:pPr>
        <w:rPr>
          <w:rFonts w:ascii="BNPP Sans Light" w:hAnsi="BNPP Sans Light"/>
          <w:b/>
          <w:bCs/>
        </w:rPr>
      </w:pPr>
      <w:r w:rsidRPr="005B51E8">
        <w:rPr>
          <w:rFonts w:ascii="BNPP Sans Light" w:hAnsi="BNPP Sans Light"/>
          <w:b/>
          <w:bCs/>
        </w:rPr>
        <w:t>Les propriétés détenues à l’étranger sont de plus en plus souvent destinées à la location</w:t>
      </w:r>
    </w:p>
    <w:p w14:paraId="0CC6E86D" w14:textId="77777777" w:rsidR="00BE1D53" w:rsidRPr="005B51E8" w:rsidRDefault="00BE1D53" w:rsidP="00BE1D53">
      <w:pPr>
        <w:rPr>
          <w:rFonts w:ascii="BNPP Sans Light" w:hAnsi="BNPP Sans Light"/>
        </w:rPr>
      </w:pPr>
      <w:r w:rsidRPr="005B51E8">
        <w:rPr>
          <w:rFonts w:ascii="BNPP Sans Light" w:hAnsi="BNPP Sans Light"/>
        </w:rPr>
        <w:t>Chez BNP Paribas Fortis, le nombre de dossiers de crédit pour des résidences secondaires à l’étranger a augmenté de 30% par rapport à 2021. D’après les données du SPF Finances, plus de 200.000 Belges détenaient en 2022 au moins une deuxième propriété dans un autre pays. Près de 23.000 d’entre eux possédaient plus d’un bien à l’étranger.</w:t>
      </w:r>
    </w:p>
    <w:p w14:paraId="45CF4623" w14:textId="77777777" w:rsidR="00BE1D53" w:rsidRPr="005B51E8" w:rsidRDefault="00BE1D53" w:rsidP="00BE1D53">
      <w:pPr>
        <w:rPr>
          <w:rFonts w:ascii="BNPP Sans Light" w:hAnsi="BNPP Sans Light"/>
        </w:rPr>
      </w:pPr>
    </w:p>
    <w:p w14:paraId="3BC275F5" w14:textId="101F9DA6" w:rsidR="00BE1D53" w:rsidRPr="005B51E8" w:rsidRDefault="00D742A6" w:rsidP="00BE1D53">
      <w:pPr>
        <w:rPr>
          <w:rFonts w:ascii="BNPP Sans Light" w:hAnsi="BNPP Sans Light"/>
        </w:rPr>
      </w:pPr>
      <w:r>
        <w:rPr>
          <w:rFonts w:ascii="BNPP Sans Light" w:hAnsi="BNPP Sans Light"/>
        </w:rPr>
        <w:t>À</w:t>
      </w:r>
      <w:r w:rsidR="00BE1D53" w:rsidRPr="005B51E8">
        <w:rPr>
          <w:rFonts w:ascii="BNPP Sans Light" w:hAnsi="BNPP Sans Light"/>
        </w:rPr>
        <w:t xml:space="preserve"> l’étranger également, les secondes résidences achetées par les clients de BNP Paribas Fortis sont de plus en plus souvent destinées à la location. En 2020, il s’agissait de 10% des crédits accordés pour des secondes résidences à l’étranger, contre 14% en 2022.</w:t>
      </w:r>
    </w:p>
    <w:p w14:paraId="2E3413DE" w14:textId="77777777" w:rsidR="00BE1D53" w:rsidRPr="005B51E8" w:rsidRDefault="00BE1D53" w:rsidP="00BE1D53">
      <w:pPr>
        <w:rPr>
          <w:rFonts w:ascii="BNPP Sans Light" w:hAnsi="BNPP Sans Light"/>
        </w:rPr>
      </w:pPr>
    </w:p>
    <w:p w14:paraId="37783284" w14:textId="247D4196" w:rsidR="00BE1D53" w:rsidRPr="00D742A6" w:rsidRDefault="00BE1D53" w:rsidP="00BE1D53">
      <w:pPr>
        <w:rPr>
          <w:rFonts w:ascii="BNPP Sans Light" w:hAnsi="BNPP Sans Light"/>
        </w:rPr>
      </w:pPr>
      <w:r w:rsidRPr="005B51E8">
        <w:rPr>
          <w:rFonts w:ascii="BNPP Sans Light" w:hAnsi="BNPP Sans Light"/>
        </w:rPr>
        <w:t>Comme en 2021 (60%), les plus de 55 ans étaient</w:t>
      </w:r>
      <w:r>
        <w:rPr>
          <w:rFonts w:ascii="BNPP Sans Light" w:hAnsi="BNPP Sans Light"/>
        </w:rPr>
        <w:t>,</w:t>
      </w:r>
      <w:r w:rsidRPr="005B51E8">
        <w:rPr>
          <w:rFonts w:ascii="BNPP Sans Light" w:hAnsi="BNPP Sans Light"/>
        </w:rPr>
        <w:t xml:space="preserve"> en 2022</w:t>
      </w:r>
      <w:r>
        <w:rPr>
          <w:rFonts w:ascii="BNPP Sans Light" w:hAnsi="BNPP Sans Light"/>
        </w:rPr>
        <w:t>,</w:t>
      </w:r>
      <w:r w:rsidRPr="005B51E8">
        <w:rPr>
          <w:rFonts w:ascii="BNPP Sans Light" w:hAnsi="BNPP Sans Light"/>
        </w:rPr>
        <w:t xml:space="preserve"> la catégorie de citoyens </w:t>
      </w:r>
      <w:r w:rsidR="00AA1748">
        <w:rPr>
          <w:rFonts w:ascii="BNPP Sans Light" w:hAnsi="BNPP Sans Light"/>
        </w:rPr>
        <w:t>la</w:t>
      </w:r>
      <w:r w:rsidR="00AA1748" w:rsidRPr="005B51E8">
        <w:rPr>
          <w:rFonts w:ascii="BNPP Sans Light" w:hAnsi="BNPP Sans Light"/>
        </w:rPr>
        <w:t xml:space="preserve"> </w:t>
      </w:r>
      <w:r w:rsidRPr="005B51E8">
        <w:rPr>
          <w:rFonts w:ascii="BNPP Sans Light" w:hAnsi="BNPP Sans Light"/>
        </w:rPr>
        <w:t>plus représenté</w:t>
      </w:r>
      <w:r w:rsidR="00AA1748">
        <w:rPr>
          <w:rFonts w:ascii="BNPP Sans Light" w:hAnsi="BNPP Sans Light"/>
        </w:rPr>
        <w:t>e</w:t>
      </w:r>
      <w:r w:rsidRPr="005B51E8">
        <w:rPr>
          <w:rFonts w:ascii="BNPP Sans Light" w:hAnsi="BNPP Sans Light"/>
        </w:rPr>
        <w:t xml:space="preserve"> (52%) parmi les candidats à l’achat d’une seconde résidence à l’étranger. Les personnes de moins de 45 ans représentaient 25% des candidats-propriétaires contre 3% pour les moins de 35 ans. Il est intéressant de noter que 20% des candidats à l’achat d’une seconde résidence en France ou en Espagne étaient âgés de moins de 45 ans.</w:t>
      </w:r>
    </w:p>
    <w:p w14:paraId="1936CA4C" w14:textId="77777777" w:rsidR="00BE1D53" w:rsidRPr="005B51E8" w:rsidRDefault="00BE1D53" w:rsidP="00BE1D53">
      <w:pPr>
        <w:rPr>
          <w:rFonts w:ascii="BNPP Sans Light" w:hAnsi="BNPP Sans Light"/>
          <w:b/>
          <w:bCs/>
        </w:rPr>
      </w:pPr>
    </w:p>
    <w:p w14:paraId="65FB7F01" w14:textId="7FD9989D" w:rsidR="00BE1D53" w:rsidRPr="005B51E8" w:rsidRDefault="00BE1D53" w:rsidP="00BE1D53">
      <w:pPr>
        <w:rPr>
          <w:rFonts w:ascii="BNPP Sans Light" w:hAnsi="BNPP Sans Light"/>
          <w:b/>
          <w:bCs/>
        </w:rPr>
      </w:pPr>
      <w:r w:rsidRPr="005B51E8">
        <w:rPr>
          <w:rFonts w:ascii="BNPP Sans Light" w:hAnsi="BNPP Sans Light"/>
          <w:b/>
          <w:bCs/>
        </w:rPr>
        <w:t>L’Espagne, la France et l’</w:t>
      </w:r>
      <w:r w:rsidR="00D742A6">
        <w:rPr>
          <w:rFonts w:ascii="BNPP Sans Light" w:hAnsi="BNPP Sans Light"/>
          <w:b/>
          <w:bCs/>
        </w:rPr>
        <w:t>I</w:t>
      </w:r>
      <w:r w:rsidRPr="005B51E8">
        <w:rPr>
          <w:rFonts w:ascii="BNPP Sans Light" w:hAnsi="BNPP Sans Light"/>
          <w:b/>
          <w:bCs/>
        </w:rPr>
        <w:t>talie sont de plus en plus populaires</w:t>
      </w:r>
    </w:p>
    <w:p w14:paraId="7C442872" w14:textId="77777777" w:rsidR="00BE1D53" w:rsidRPr="005B51E8" w:rsidRDefault="00BE1D53" w:rsidP="00BE1D53">
      <w:pPr>
        <w:rPr>
          <w:rFonts w:ascii="BNPP Sans Light" w:hAnsi="BNPP Sans Light"/>
        </w:rPr>
      </w:pPr>
      <w:r w:rsidRPr="005B51E8">
        <w:rPr>
          <w:rFonts w:ascii="BNPP Sans Light" w:hAnsi="BNPP Sans Light"/>
        </w:rPr>
        <w:t>La majorité des emprunteurs clients de BNP Paribas Fortis ont jeté leur dévolu sur un bien en Espagne (42%), en France (32%) et en Italie (7%). Ce top 3 est inchangé par rapport à 2021, même si le nombre de crédits souscrits pour une seconde résidence dans ces pays a nettement augmenté : BNP Paribas Fortis a enregistré une hausse de 19% pour l’Espagne, de 31% pour la France et de pas moins de 110% pour l’Italie.</w:t>
      </w:r>
    </w:p>
    <w:p w14:paraId="5DD08A82" w14:textId="77777777" w:rsidR="00BE1D53" w:rsidRPr="005B51E8" w:rsidRDefault="00BE1D53" w:rsidP="00BE1D53">
      <w:pPr>
        <w:rPr>
          <w:rFonts w:ascii="BNPP Sans Light" w:hAnsi="BNPP Sans Light"/>
        </w:rPr>
      </w:pPr>
    </w:p>
    <w:p w14:paraId="245E890D" w14:textId="77777777" w:rsidR="00BE1D53" w:rsidRPr="005B51E8" w:rsidRDefault="00BE1D53" w:rsidP="00BE1D53">
      <w:pPr>
        <w:rPr>
          <w:rFonts w:ascii="BNPP Sans Light" w:hAnsi="BNPP Sans Light"/>
        </w:rPr>
      </w:pPr>
      <w:r w:rsidRPr="005B51E8">
        <w:rPr>
          <w:rFonts w:ascii="BNPP Sans Light" w:hAnsi="BNPP Sans Light"/>
        </w:rPr>
        <w:t>L’Espagne et la France arrivent en tête, aussi bien pour les immeubles destinés à la location que ceux destinés à un usage personnel :</w:t>
      </w:r>
    </w:p>
    <w:p w14:paraId="59BC79CF" w14:textId="77777777" w:rsidR="00BE1D53" w:rsidRPr="005B51E8" w:rsidRDefault="00BE1D53" w:rsidP="00BE1D53">
      <w:pPr>
        <w:rPr>
          <w:rFonts w:ascii="BNPP Sans Light" w:hAnsi="BNPP Sans Light"/>
        </w:rPr>
      </w:pPr>
    </w:p>
    <w:tbl>
      <w:tblPr>
        <w:tblStyle w:val="TableGrid"/>
        <w:tblW w:w="0" w:type="auto"/>
        <w:tblLook w:val="04A0" w:firstRow="1" w:lastRow="0" w:firstColumn="1" w:lastColumn="0" w:noHBand="0" w:noVBand="1"/>
      </w:tblPr>
      <w:tblGrid>
        <w:gridCol w:w="532"/>
        <w:gridCol w:w="4470"/>
        <w:gridCol w:w="5192"/>
      </w:tblGrid>
      <w:tr w:rsidR="00BE1D53" w:rsidRPr="005B51E8" w14:paraId="5F990798" w14:textId="77777777" w:rsidTr="0080776A">
        <w:tc>
          <w:tcPr>
            <w:tcW w:w="10344" w:type="dxa"/>
            <w:gridSpan w:val="3"/>
          </w:tcPr>
          <w:p w14:paraId="2E99DBFB" w14:textId="77777777" w:rsidR="00BE1D53" w:rsidRPr="005B51E8" w:rsidRDefault="00BE1D53" w:rsidP="0080776A">
            <w:pPr>
              <w:jc w:val="center"/>
              <w:rPr>
                <w:rFonts w:ascii="BNPP Sans Light" w:hAnsi="BNPP Sans Light"/>
              </w:rPr>
            </w:pPr>
            <w:r w:rsidRPr="005B51E8">
              <w:rPr>
                <w:rFonts w:ascii="BNPP Sans Light" w:hAnsi="BNPP Sans Light"/>
              </w:rPr>
              <w:t>Top 5 des secondes résidences à l’étranger (2022)</w:t>
            </w:r>
          </w:p>
        </w:tc>
      </w:tr>
      <w:tr w:rsidR="00BE1D53" w:rsidRPr="005B51E8" w14:paraId="1CA04E59" w14:textId="77777777" w:rsidTr="0080776A">
        <w:tc>
          <w:tcPr>
            <w:tcW w:w="534" w:type="dxa"/>
          </w:tcPr>
          <w:p w14:paraId="0CC54324" w14:textId="77777777" w:rsidR="00BE1D53" w:rsidRPr="005B51E8" w:rsidRDefault="00BE1D53" w:rsidP="0080776A">
            <w:pPr>
              <w:rPr>
                <w:rFonts w:ascii="BNPP Sans Light" w:hAnsi="BNPP Sans Light"/>
              </w:rPr>
            </w:pPr>
          </w:p>
        </w:tc>
        <w:tc>
          <w:tcPr>
            <w:tcW w:w="4536" w:type="dxa"/>
          </w:tcPr>
          <w:p w14:paraId="06AD654B" w14:textId="77777777" w:rsidR="00BE1D53" w:rsidRPr="005B51E8" w:rsidRDefault="00BE1D53" w:rsidP="0080776A">
            <w:pPr>
              <w:jc w:val="center"/>
              <w:rPr>
                <w:rFonts w:ascii="BNPP Sans Light" w:hAnsi="BNPP Sans Light"/>
              </w:rPr>
            </w:pPr>
            <w:r w:rsidRPr="005B51E8">
              <w:rPr>
                <w:rFonts w:ascii="BNPP Sans Light" w:hAnsi="BNPP Sans Light"/>
              </w:rPr>
              <w:t>Location</w:t>
            </w:r>
          </w:p>
        </w:tc>
        <w:tc>
          <w:tcPr>
            <w:tcW w:w="5274" w:type="dxa"/>
          </w:tcPr>
          <w:p w14:paraId="45139DFA" w14:textId="77777777" w:rsidR="00BE1D53" w:rsidRPr="005B51E8" w:rsidRDefault="00BE1D53" w:rsidP="0080776A">
            <w:pPr>
              <w:jc w:val="center"/>
              <w:rPr>
                <w:rFonts w:ascii="BNPP Sans Light" w:hAnsi="BNPP Sans Light"/>
              </w:rPr>
            </w:pPr>
            <w:r w:rsidRPr="005B51E8">
              <w:rPr>
                <w:rFonts w:ascii="BNPP Sans Light" w:hAnsi="BNPP Sans Light"/>
              </w:rPr>
              <w:t>Usage personnel</w:t>
            </w:r>
          </w:p>
        </w:tc>
      </w:tr>
      <w:tr w:rsidR="00BE1D53" w:rsidRPr="005B51E8" w14:paraId="7C1177F3" w14:textId="77777777" w:rsidTr="0080776A">
        <w:tc>
          <w:tcPr>
            <w:tcW w:w="534" w:type="dxa"/>
          </w:tcPr>
          <w:p w14:paraId="4CEA6D98" w14:textId="77777777" w:rsidR="00BE1D53" w:rsidRPr="005B51E8" w:rsidRDefault="00BE1D53" w:rsidP="0080776A">
            <w:pPr>
              <w:jc w:val="center"/>
              <w:rPr>
                <w:rFonts w:ascii="BNPP Sans Light" w:hAnsi="BNPP Sans Light"/>
              </w:rPr>
            </w:pPr>
            <w:r w:rsidRPr="005B51E8">
              <w:rPr>
                <w:rFonts w:ascii="BNPP Sans Light" w:hAnsi="BNPP Sans Light"/>
              </w:rPr>
              <w:t>1.</w:t>
            </w:r>
          </w:p>
        </w:tc>
        <w:tc>
          <w:tcPr>
            <w:tcW w:w="4536" w:type="dxa"/>
          </w:tcPr>
          <w:p w14:paraId="587B4213" w14:textId="77777777" w:rsidR="00BE1D53" w:rsidRPr="005B51E8" w:rsidRDefault="00BE1D53" w:rsidP="0080776A">
            <w:pPr>
              <w:rPr>
                <w:rFonts w:ascii="BNPP Sans Light" w:hAnsi="BNPP Sans Light"/>
              </w:rPr>
            </w:pPr>
            <w:r w:rsidRPr="005B51E8">
              <w:rPr>
                <w:rFonts w:ascii="BNPP Sans Light" w:hAnsi="BNPP Sans Light"/>
                <w:b/>
                <w:bCs/>
              </w:rPr>
              <w:t xml:space="preserve">Espagne </w:t>
            </w:r>
            <w:r w:rsidRPr="005B51E8">
              <w:rPr>
                <w:rFonts w:ascii="BNPP Sans Light" w:hAnsi="BNPP Sans Light"/>
              </w:rPr>
              <w:t>(31%)</w:t>
            </w:r>
          </w:p>
        </w:tc>
        <w:tc>
          <w:tcPr>
            <w:tcW w:w="5274" w:type="dxa"/>
          </w:tcPr>
          <w:p w14:paraId="0BA2B549" w14:textId="77777777" w:rsidR="00BE1D53" w:rsidRPr="005B51E8" w:rsidRDefault="00BE1D53" w:rsidP="0080776A">
            <w:pPr>
              <w:rPr>
                <w:rFonts w:ascii="BNPP Sans Light" w:hAnsi="BNPP Sans Light"/>
              </w:rPr>
            </w:pPr>
            <w:r w:rsidRPr="005B51E8">
              <w:rPr>
                <w:rFonts w:ascii="BNPP Sans Light" w:hAnsi="BNPP Sans Light"/>
                <w:b/>
                <w:bCs/>
              </w:rPr>
              <w:t xml:space="preserve">Espagne </w:t>
            </w:r>
            <w:r w:rsidRPr="005B51E8">
              <w:rPr>
                <w:rFonts w:ascii="BNPP Sans Light" w:hAnsi="BNPP Sans Light"/>
              </w:rPr>
              <w:t>(44%)</w:t>
            </w:r>
          </w:p>
        </w:tc>
      </w:tr>
      <w:tr w:rsidR="00BE1D53" w:rsidRPr="005B51E8" w14:paraId="6CC59E20" w14:textId="77777777" w:rsidTr="0080776A">
        <w:tc>
          <w:tcPr>
            <w:tcW w:w="534" w:type="dxa"/>
          </w:tcPr>
          <w:p w14:paraId="45339B97" w14:textId="77777777" w:rsidR="00BE1D53" w:rsidRPr="005B51E8" w:rsidRDefault="00BE1D53" w:rsidP="0080776A">
            <w:pPr>
              <w:jc w:val="center"/>
              <w:rPr>
                <w:rFonts w:ascii="BNPP Sans Light" w:hAnsi="BNPP Sans Light"/>
              </w:rPr>
            </w:pPr>
            <w:r w:rsidRPr="005B51E8">
              <w:rPr>
                <w:rFonts w:ascii="BNPP Sans Light" w:hAnsi="BNPP Sans Light"/>
              </w:rPr>
              <w:t>2.</w:t>
            </w:r>
          </w:p>
        </w:tc>
        <w:tc>
          <w:tcPr>
            <w:tcW w:w="4536" w:type="dxa"/>
          </w:tcPr>
          <w:p w14:paraId="67E4C280" w14:textId="77777777" w:rsidR="00BE1D53" w:rsidRPr="005B51E8" w:rsidRDefault="00BE1D53" w:rsidP="0080776A">
            <w:pPr>
              <w:rPr>
                <w:rFonts w:ascii="BNPP Sans Light" w:hAnsi="BNPP Sans Light"/>
              </w:rPr>
            </w:pPr>
            <w:r w:rsidRPr="005B51E8">
              <w:rPr>
                <w:rFonts w:ascii="BNPP Sans Light" w:hAnsi="BNPP Sans Light"/>
                <w:b/>
                <w:bCs/>
              </w:rPr>
              <w:t xml:space="preserve">France </w:t>
            </w:r>
            <w:r w:rsidRPr="005B51E8">
              <w:rPr>
                <w:rFonts w:ascii="BNPP Sans Light" w:hAnsi="BNPP Sans Light"/>
              </w:rPr>
              <w:t>(30%)</w:t>
            </w:r>
          </w:p>
        </w:tc>
        <w:tc>
          <w:tcPr>
            <w:tcW w:w="5274" w:type="dxa"/>
          </w:tcPr>
          <w:p w14:paraId="4E068FC0" w14:textId="77777777" w:rsidR="00BE1D53" w:rsidRPr="005B51E8" w:rsidRDefault="00BE1D53" w:rsidP="0080776A">
            <w:pPr>
              <w:rPr>
                <w:rFonts w:ascii="BNPP Sans Light" w:hAnsi="BNPP Sans Light"/>
              </w:rPr>
            </w:pPr>
            <w:r w:rsidRPr="005B51E8">
              <w:rPr>
                <w:rFonts w:ascii="BNPP Sans Light" w:hAnsi="BNPP Sans Light"/>
                <w:b/>
                <w:bCs/>
              </w:rPr>
              <w:t xml:space="preserve">France </w:t>
            </w:r>
            <w:r w:rsidRPr="005B51E8">
              <w:rPr>
                <w:rFonts w:ascii="BNPP Sans Light" w:hAnsi="BNPP Sans Light"/>
              </w:rPr>
              <w:t>(33%)</w:t>
            </w:r>
          </w:p>
        </w:tc>
      </w:tr>
      <w:tr w:rsidR="00BE1D53" w:rsidRPr="005B51E8" w14:paraId="2EC02BAC" w14:textId="77777777" w:rsidTr="0080776A">
        <w:tc>
          <w:tcPr>
            <w:tcW w:w="534" w:type="dxa"/>
          </w:tcPr>
          <w:p w14:paraId="7450289C" w14:textId="77777777" w:rsidR="00BE1D53" w:rsidRPr="005B51E8" w:rsidRDefault="00BE1D53" w:rsidP="0080776A">
            <w:pPr>
              <w:jc w:val="center"/>
              <w:rPr>
                <w:rFonts w:ascii="BNPP Sans Light" w:hAnsi="BNPP Sans Light"/>
              </w:rPr>
            </w:pPr>
            <w:r w:rsidRPr="005B51E8">
              <w:rPr>
                <w:rFonts w:ascii="BNPP Sans Light" w:hAnsi="BNPP Sans Light"/>
              </w:rPr>
              <w:t>3.</w:t>
            </w:r>
          </w:p>
        </w:tc>
        <w:tc>
          <w:tcPr>
            <w:tcW w:w="4536" w:type="dxa"/>
          </w:tcPr>
          <w:p w14:paraId="4232D398" w14:textId="77777777" w:rsidR="00BE1D53" w:rsidRPr="005B51E8" w:rsidRDefault="00BE1D53" w:rsidP="0080776A">
            <w:pPr>
              <w:rPr>
                <w:rFonts w:ascii="BNPP Sans Light" w:hAnsi="BNPP Sans Light"/>
              </w:rPr>
            </w:pPr>
            <w:r w:rsidRPr="005B51E8">
              <w:rPr>
                <w:rFonts w:ascii="BNPP Sans Light" w:hAnsi="BNPP Sans Light"/>
                <w:b/>
                <w:bCs/>
              </w:rPr>
              <w:t xml:space="preserve">Pays-Bas </w:t>
            </w:r>
            <w:r w:rsidRPr="005B51E8">
              <w:rPr>
                <w:rFonts w:ascii="BNPP Sans Light" w:hAnsi="BNPP Sans Light"/>
              </w:rPr>
              <w:t>(18%)</w:t>
            </w:r>
          </w:p>
        </w:tc>
        <w:tc>
          <w:tcPr>
            <w:tcW w:w="5274" w:type="dxa"/>
          </w:tcPr>
          <w:p w14:paraId="32EC4FDA" w14:textId="77777777" w:rsidR="00BE1D53" w:rsidRPr="005B51E8" w:rsidRDefault="00BE1D53" w:rsidP="0080776A">
            <w:pPr>
              <w:rPr>
                <w:rFonts w:ascii="BNPP Sans Light" w:hAnsi="BNPP Sans Light"/>
              </w:rPr>
            </w:pPr>
            <w:r w:rsidRPr="005B51E8">
              <w:rPr>
                <w:rFonts w:ascii="BNPP Sans Light" w:hAnsi="BNPP Sans Light"/>
                <w:b/>
                <w:bCs/>
              </w:rPr>
              <w:t xml:space="preserve">Italie </w:t>
            </w:r>
            <w:r w:rsidRPr="005B51E8">
              <w:rPr>
                <w:rFonts w:ascii="BNPP Sans Light" w:hAnsi="BNPP Sans Light"/>
              </w:rPr>
              <w:t>(7%)</w:t>
            </w:r>
          </w:p>
        </w:tc>
      </w:tr>
      <w:tr w:rsidR="00BE1D53" w:rsidRPr="005B51E8" w14:paraId="39C2DD29" w14:textId="77777777" w:rsidTr="0080776A">
        <w:tc>
          <w:tcPr>
            <w:tcW w:w="534" w:type="dxa"/>
          </w:tcPr>
          <w:p w14:paraId="1D583848" w14:textId="77777777" w:rsidR="00BE1D53" w:rsidRPr="005B51E8" w:rsidRDefault="00BE1D53" w:rsidP="0080776A">
            <w:pPr>
              <w:jc w:val="center"/>
              <w:rPr>
                <w:rFonts w:ascii="BNPP Sans Light" w:hAnsi="BNPP Sans Light"/>
              </w:rPr>
            </w:pPr>
            <w:r w:rsidRPr="005B51E8">
              <w:rPr>
                <w:rFonts w:ascii="BNPP Sans Light" w:hAnsi="BNPP Sans Light"/>
              </w:rPr>
              <w:t>4.</w:t>
            </w:r>
          </w:p>
        </w:tc>
        <w:tc>
          <w:tcPr>
            <w:tcW w:w="4536" w:type="dxa"/>
          </w:tcPr>
          <w:p w14:paraId="5C73F0FB" w14:textId="77777777" w:rsidR="00BE1D53" w:rsidRPr="005B51E8" w:rsidRDefault="00BE1D53" w:rsidP="0080776A">
            <w:pPr>
              <w:rPr>
                <w:rFonts w:ascii="BNPP Sans Light" w:hAnsi="BNPP Sans Light"/>
              </w:rPr>
            </w:pPr>
            <w:r w:rsidRPr="005B51E8">
              <w:rPr>
                <w:rFonts w:ascii="BNPP Sans Light" w:hAnsi="BNPP Sans Light"/>
                <w:b/>
                <w:bCs/>
              </w:rPr>
              <w:t xml:space="preserve">Allemagne </w:t>
            </w:r>
            <w:r w:rsidRPr="005B51E8">
              <w:rPr>
                <w:rFonts w:ascii="BNPP Sans Light" w:hAnsi="BNPP Sans Light"/>
              </w:rPr>
              <w:t>(5%)</w:t>
            </w:r>
          </w:p>
        </w:tc>
        <w:tc>
          <w:tcPr>
            <w:tcW w:w="5274" w:type="dxa"/>
          </w:tcPr>
          <w:p w14:paraId="66F0AA51" w14:textId="77777777" w:rsidR="00BE1D53" w:rsidRPr="005B51E8" w:rsidRDefault="00BE1D53" w:rsidP="0080776A">
            <w:pPr>
              <w:rPr>
                <w:rFonts w:ascii="BNPP Sans Light" w:hAnsi="BNPP Sans Light"/>
              </w:rPr>
            </w:pPr>
            <w:r w:rsidRPr="005B51E8">
              <w:rPr>
                <w:rFonts w:ascii="BNPP Sans Light" w:hAnsi="BNPP Sans Light"/>
                <w:b/>
                <w:bCs/>
              </w:rPr>
              <w:t xml:space="preserve">Pays-Bas </w:t>
            </w:r>
            <w:r w:rsidRPr="005B51E8">
              <w:rPr>
                <w:rFonts w:ascii="BNPP Sans Light" w:hAnsi="BNPP Sans Light"/>
              </w:rPr>
              <w:t>(4%)</w:t>
            </w:r>
          </w:p>
        </w:tc>
      </w:tr>
      <w:tr w:rsidR="00BE1D53" w:rsidRPr="005B51E8" w14:paraId="62767D71" w14:textId="77777777" w:rsidTr="0080776A">
        <w:tc>
          <w:tcPr>
            <w:tcW w:w="534" w:type="dxa"/>
          </w:tcPr>
          <w:p w14:paraId="03AB51C7" w14:textId="77777777" w:rsidR="00BE1D53" w:rsidRPr="005B51E8" w:rsidRDefault="00BE1D53" w:rsidP="0080776A">
            <w:pPr>
              <w:jc w:val="center"/>
              <w:rPr>
                <w:rFonts w:ascii="BNPP Sans Light" w:hAnsi="BNPP Sans Light"/>
              </w:rPr>
            </w:pPr>
            <w:r w:rsidRPr="005B51E8">
              <w:rPr>
                <w:rFonts w:ascii="BNPP Sans Light" w:hAnsi="BNPP Sans Light"/>
              </w:rPr>
              <w:t>5.</w:t>
            </w:r>
          </w:p>
        </w:tc>
        <w:tc>
          <w:tcPr>
            <w:tcW w:w="4536" w:type="dxa"/>
          </w:tcPr>
          <w:p w14:paraId="5E6CF7A3" w14:textId="77777777" w:rsidR="00BE1D53" w:rsidRPr="005B51E8" w:rsidRDefault="00BE1D53" w:rsidP="0080776A">
            <w:pPr>
              <w:rPr>
                <w:rFonts w:ascii="BNPP Sans Light" w:hAnsi="BNPP Sans Light"/>
              </w:rPr>
            </w:pPr>
            <w:r w:rsidRPr="005B51E8">
              <w:rPr>
                <w:rFonts w:ascii="BNPP Sans Light" w:hAnsi="BNPP Sans Light"/>
                <w:b/>
                <w:bCs/>
              </w:rPr>
              <w:t xml:space="preserve">Italie </w:t>
            </w:r>
            <w:r w:rsidRPr="005B51E8">
              <w:rPr>
                <w:rFonts w:ascii="BNPP Sans Light" w:hAnsi="BNPP Sans Light"/>
              </w:rPr>
              <w:t>(5%)</w:t>
            </w:r>
          </w:p>
        </w:tc>
        <w:tc>
          <w:tcPr>
            <w:tcW w:w="5274" w:type="dxa"/>
          </w:tcPr>
          <w:p w14:paraId="156518D6" w14:textId="77777777" w:rsidR="00BE1D53" w:rsidRPr="005B51E8" w:rsidRDefault="00BE1D53" w:rsidP="0080776A">
            <w:pPr>
              <w:rPr>
                <w:rFonts w:ascii="BNPP Sans Light" w:hAnsi="BNPP Sans Light"/>
              </w:rPr>
            </w:pPr>
            <w:r w:rsidRPr="005B51E8">
              <w:rPr>
                <w:rFonts w:ascii="BNPP Sans Light" w:hAnsi="BNPP Sans Light"/>
                <w:b/>
                <w:bCs/>
              </w:rPr>
              <w:t xml:space="preserve">Portugal </w:t>
            </w:r>
            <w:r w:rsidRPr="005B51E8">
              <w:rPr>
                <w:rFonts w:ascii="BNPP Sans Light" w:hAnsi="BNPP Sans Light"/>
              </w:rPr>
              <w:t>(3%)</w:t>
            </w:r>
          </w:p>
        </w:tc>
      </w:tr>
    </w:tbl>
    <w:p w14:paraId="76B73EA0" w14:textId="77777777" w:rsidR="00BE1D53" w:rsidRPr="005B51E8" w:rsidRDefault="00BE1D53" w:rsidP="00BE1D53">
      <w:pPr>
        <w:rPr>
          <w:rFonts w:ascii="BNPP Sans Light" w:hAnsi="BNPP Sans Light"/>
        </w:rPr>
      </w:pPr>
    </w:p>
    <w:p w14:paraId="6EEA7383" w14:textId="1F2704F0" w:rsidR="00BE1D53" w:rsidRPr="005B51E8" w:rsidRDefault="00D122BC" w:rsidP="00BE1D53">
      <w:pPr>
        <w:rPr>
          <w:rFonts w:ascii="BNPP Sans Light" w:hAnsi="BNPP Sans Light"/>
          <w:b/>
          <w:bCs/>
        </w:rPr>
      </w:pPr>
      <w:r>
        <w:rPr>
          <w:rFonts w:ascii="BNPP Sans Light" w:hAnsi="BNPP Sans Light"/>
          <w:b/>
          <w:bCs/>
        </w:rPr>
        <w:t>É</w:t>
      </w:r>
      <w:r w:rsidR="00BE1D53" w:rsidRPr="005B51E8">
        <w:rPr>
          <w:rFonts w:ascii="BNPP Sans Light" w:hAnsi="BNPP Sans Light"/>
          <w:b/>
          <w:bCs/>
        </w:rPr>
        <w:t>volution des montants empruntés pour des résidences à l’étranger</w:t>
      </w:r>
    </w:p>
    <w:p w14:paraId="335E5E4E" w14:textId="52766EA1" w:rsidR="00BE1D53" w:rsidRPr="005B51E8" w:rsidRDefault="00BE1D53" w:rsidP="00BE1D53">
      <w:pPr>
        <w:rPr>
          <w:rFonts w:ascii="BNPP Sans Light" w:hAnsi="BNPP Sans Light"/>
        </w:rPr>
      </w:pPr>
      <w:r w:rsidRPr="005B51E8">
        <w:rPr>
          <w:rFonts w:ascii="BNPP Sans Light" w:hAnsi="BNPP Sans Light"/>
        </w:rPr>
        <w:t xml:space="preserve">Alors que les destinations les plus populaires n’ont pas beaucoup évolué en 2022 par rapport à 2021, BNP Paribas Fortis a tout de même remarqué une nette différence au niveau de la moyenne des montants empruntés pour certains pays. Par exemple, les clients ont en moyenne emprunté 180.000 euros pour l’achat d’un bien aux Pays-Bas, contre 269.000 euros en 2021 (-33%). Pour les biens achetés en France et destinés à la location, BNP Paribas Fortis a enregistré une forte baisse </w:t>
      </w:r>
      <w:r w:rsidR="00382562" w:rsidRPr="005B51E8">
        <w:rPr>
          <w:rFonts w:ascii="BNPP Sans Light" w:hAnsi="BNPP Sans Light"/>
        </w:rPr>
        <w:t>d</w:t>
      </w:r>
      <w:r w:rsidR="00382562">
        <w:rPr>
          <w:rFonts w:ascii="BNPP Sans Light" w:hAnsi="BNPP Sans Light"/>
        </w:rPr>
        <w:t>u</w:t>
      </w:r>
      <w:r w:rsidR="00382562" w:rsidRPr="005B51E8">
        <w:rPr>
          <w:rFonts w:ascii="BNPP Sans Light" w:hAnsi="BNPP Sans Light"/>
        </w:rPr>
        <w:t xml:space="preserve"> </w:t>
      </w:r>
      <w:r w:rsidRPr="005B51E8">
        <w:rPr>
          <w:rFonts w:ascii="BNPP Sans Light" w:hAnsi="BNPP Sans Light"/>
        </w:rPr>
        <w:t>montant moyen emprunté, qui passe de 301.000 à 212.000 euros (-30%).</w:t>
      </w:r>
    </w:p>
    <w:p w14:paraId="46549799" w14:textId="77777777" w:rsidR="00BE1D53" w:rsidRPr="005B51E8" w:rsidRDefault="00BE1D53" w:rsidP="00BE1D53">
      <w:pPr>
        <w:rPr>
          <w:rFonts w:ascii="BNPP Sans Light" w:hAnsi="BNPP Sans Light"/>
        </w:rPr>
      </w:pPr>
    </w:p>
    <w:p w14:paraId="3648AA70" w14:textId="77777777" w:rsidR="00BE1D53" w:rsidRPr="005B51E8" w:rsidRDefault="00BE1D53" w:rsidP="00BE1D53">
      <w:pPr>
        <w:rPr>
          <w:rFonts w:ascii="BNPP Sans Light" w:hAnsi="BNPP Sans Light"/>
        </w:rPr>
      </w:pPr>
      <w:r w:rsidRPr="005B51E8">
        <w:rPr>
          <w:rFonts w:ascii="BNPP Sans Light" w:hAnsi="BNPP Sans Light"/>
        </w:rPr>
        <w:t>En revanche, pour ce qui concerne l’achat d’une résidence secondaire pour usage personnel, la banque a noté plusieurs hausses significatives des montants moyens empruntés. Pour les Pays-Bas, le montant passe de 282.000 euros en 2021 à 316.000 euros en 2022 (+12%). Ceux qui préfèrent l’Espagne ont emprunté en moyenne 174.000 euros en 2022 contre 155.000 euros (+12%) un an plus tôt.</w:t>
      </w:r>
    </w:p>
    <w:p w14:paraId="2B655714" w14:textId="4B365572" w:rsidR="00AD7831" w:rsidRPr="005A2563" w:rsidRDefault="00DA7327" w:rsidP="005A2563">
      <w:pPr>
        <w:jc w:val="center"/>
        <w:rPr>
          <w:rFonts w:ascii="BNPP Sans Light" w:hAnsi="BNPP Sans Light"/>
          <w:lang w:val="en-US"/>
        </w:rPr>
      </w:pPr>
      <w:r w:rsidRPr="005A2563">
        <w:rPr>
          <w:rFonts w:ascii="BNPP Sans Light" w:hAnsi="BNPP Sans Light"/>
          <w:lang w:val="en-US"/>
        </w:rPr>
        <w:t>---</w:t>
      </w:r>
    </w:p>
    <w:p w14:paraId="592E0CB7" w14:textId="02CF6248" w:rsidR="00AD7831" w:rsidRPr="008E1631" w:rsidRDefault="00107B3C" w:rsidP="008C4C01">
      <w:pPr>
        <w:rPr>
          <w:rFonts w:ascii="BNPP Sans Light" w:hAnsi="BNPP Sans Light"/>
          <w:b/>
          <w:lang w:val="en-GB"/>
        </w:rPr>
      </w:pPr>
      <w:r w:rsidRPr="008E1631">
        <w:rPr>
          <w:rFonts w:ascii="BNPP Sans Light" w:hAnsi="BNPP Sans Light"/>
          <w:b/>
          <w:lang w:val="en-GB"/>
        </w:rPr>
        <w:t>Contact</w:t>
      </w:r>
      <w:r w:rsidR="00DA7327">
        <w:rPr>
          <w:rFonts w:ascii="BNPP Sans Light" w:hAnsi="BNPP Sans Light"/>
          <w:b/>
          <w:lang w:val="en-GB"/>
        </w:rPr>
        <w:t>s</w:t>
      </w:r>
      <w:r w:rsidRPr="008E1631">
        <w:rPr>
          <w:rFonts w:ascii="BNPP Sans Light" w:hAnsi="BNPP Sans Light"/>
          <w:b/>
          <w:lang w:val="en-GB"/>
        </w:rPr>
        <w:t xml:space="preserve"> Presse</w:t>
      </w:r>
      <w:r w:rsidRPr="008E1631">
        <w:rPr>
          <w:rFonts w:ascii="Calibri" w:hAnsi="Calibri" w:cs="Calibri"/>
          <w:b/>
          <w:lang w:val="en-GB"/>
        </w:rPr>
        <w:t> </w:t>
      </w:r>
      <w:r w:rsidRPr="008E1631">
        <w:rPr>
          <w:rFonts w:ascii="BNPP Sans Light" w:hAnsi="BNPP Sans Light"/>
          <w:b/>
          <w:lang w:val="en-GB"/>
        </w:rPr>
        <w:t>:</w:t>
      </w:r>
    </w:p>
    <w:p w14:paraId="56AAB679" w14:textId="77777777" w:rsidR="00AD7831" w:rsidRPr="008E1631" w:rsidRDefault="00AD7831" w:rsidP="008C4C01">
      <w:pPr>
        <w:rPr>
          <w:rFonts w:ascii="BNPP Sans Light" w:hAnsi="BNPP Sans Light"/>
          <w:lang w:val="en-GB"/>
        </w:rPr>
      </w:pPr>
    </w:p>
    <w:p w14:paraId="044D9982" w14:textId="669CE176" w:rsidR="00107B3C" w:rsidRPr="008E1631" w:rsidRDefault="00107B3C" w:rsidP="00107B3C">
      <w:pPr>
        <w:autoSpaceDE w:val="0"/>
        <w:autoSpaceDN w:val="0"/>
        <w:adjustRightInd w:val="0"/>
        <w:spacing w:line="240" w:lineRule="auto"/>
        <w:jc w:val="left"/>
        <w:rPr>
          <w:rFonts w:ascii="BNPP Sans Light" w:hAnsi="BNPP Sans Light" w:cs="Calibri"/>
          <w:color w:val="0000FF"/>
          <w:sz w:val="20"/>
          <w:lang w:val="en-GB"/>
        </w:rPr>
      </w:pPr>
      <w:r w:rsidRPr="008E1631">
        <w:rPr>
          <w:rFonts w:ascii="BNPP Sans Light" w:hAnsi="BNPP Sans Light" w:cs="Calibri"/>
          <w:b/>
          <w:bCs/>
          <w:sz w:val="20"/>
          <w:lang w:val="en-GB"/>
        </w:rPr>
        <w:t xml:space="preserve">Valéry Halloy </w:t>
      </w:r>
      <w:r w:rsidRPr="008E1631">
        <w:rPr>
          <w:rFonts w:ascii="BNPP Sans Light" w:hAnsi="BNPP Sans Light" w:cs="Calibri"/>
          <w:sz w:val="20"/>
          <w:lang w:val="en-GB"/>
        </w:rPr>
        <w:t>| Press Officer</w:t>
      </w:r>
      <w:r w:rsidRPr="008E1631">
        <w:rPr>
          <w:rFonts w:ascii="BNPP Sans Light" w:hAnsi="BNPP Sans Light" w:cs="Calibri"/>
          <w:sz w:val="20"/>
          <w:lang w:val="en-GB"/>
        </w:rPr>
        <w:br/>
        <w:t xml:space="preserve">+32 </w:t>
      </w:r>
      <w:r w:rsidR="00D52E1A" w:rsidRPr="008E1631">
        <w:rPr>
          <w:rFonts w:ascii="BNPP Sans Light" w:hAnsi="BNPP Sans Light" w:cs="Calibri"/>
          <w:sz w:val="20"/>
          <w:lang w:val="en-GB"/>
        </w:rPr>
        <w:t>(0)</w:t>
      </w:r>
      <w:r w:rsidRPr="008E1631">
        <w:rPr>
          <w:rFonts w:ascii="BNPP Sans Light" w:hAnsi="BNPP Sans Light" w:cs="Calibri"/>
          <w:sz w:val="20"/>
          <w:lang w:val="en-GB"/>
        </w:rPr>
        <w:t>475 78 80 97</w:t>
      </w:r>
      <w:r w:rsidRPr="008E1631">
        <w:rPr>
          <w:rFonts w:ascii="BNPP Sans Light" w:hAnsi="BNPP Sans Light" w:cs="Calibri"/>
          <w:sz w:val="20"/>
          <w:lang w:val="en-GB"/>
        </w:rPr>
        <w:br/>
      </w:r>
      <w:r w:rsidRPr="008E1631">
        <w:rPr>
          <w:rFonts w:ascii="BNPP Sans Light" w:hAnsi="BNPP Sans Light" w:cs="Calibri"/>
          <w:color w:val="0000FF"/>
          <w:sz w:val="20"/>
          <w:lang w:val="en-GB"/>
        </w:rPr>
        <w:t>valery.halloy@bnpparibasfortis.com</w:t>
      </w:r>
      <w:r w:rsidR="004733E7">
        <w:rPr>
          <w:rFonts w:ascii="BNPP Sans Light" w:hAnsi="BNPP Sans Light" w:cs="Calibri"/>
          <w:color w:val="0000FF"/>
          <w:sz w:val="20"/>
          <w:lang w:val="en-GB"/>
        </w:rPr>
        <w:t xml:space="preserve"> </w:t>
      </w:r>
    </w:p>
    <w:p w14:paraId="3FCA8E88" w14:textId="77777777" w:rsidR="005E7CDC" w:rsidRDefault="005E7CDC" w:rsidP="00107B3C">
      <w:pPr>
        <w:autoSpaceDE w:val="0"/>
        <w:autoSpaceDN w:val="0"/>
        <w:adjustRightInd w:val="0"/>
        <w:spacing w:line="240" w:lineRule="auto"/>
        <w:jc w:val="left"/>
        <w:rPr>
          <w:rFonts w:ascii="BNPP Sans Light" w:hAnsi="BNPP Sans Light" w:cs="Calibri"/>
          <w:b/>
          <w:bCs/>
          <w:sz w:val="20"/>
          <w:lang w:val="en-GB"/>
        </w:rPr>
      </w:pPr>
    </w:p>
    <w:p w14:paraId="7FE908E1" w14:textId="64B99D0B" w:rsidR="00107B3C" w:rsidRPr="008E1631" w:rsidRDefault="00107B3C" w:rsidP="00107B3C">
      <w:pPr>
        <w:autoSpaceDE w:val="0"/>
        <w:autoSpaceDN w:val="0"/>
        <w:adjustRightInd w:val="0"/>
        <w:spacing w:line="240" w:lineRule="auto"/>
        <w:jc w:val="left"/>
        <w:rPr>
          <w:rFonts w:ascii="BNPP Sans Light" w:hAnsi="BNPP Sans Light" w:cs="Arial"/>
          <w:sz w:val="20"/>
          <w:lang w:val="en-GB"/>
        </w:rPr>
      </w:pPr>
      <w:r w:rsidRPr="008E1631">
        <w:rPr>
          <w:rFonts w:ascii="BNPP Sans Light" w:hAnsi="BNPP Sans Light" w:cs="Calibri"/>
          <w:b/>
          <w:bCs/>
          <w:sz w:val="20"/>
          <w:lang w:val="en-GB"/>
        </w:rPr>
        <w:t>Jeroen Petrus</w:t>
      </w:r>
      <w:r w:rsidRPr="008E1631">
        <w:rPr>
          <w:rFonts w:ascii="BNPP Sans Light" w:hAnsi="BNPP Sans Light" w:cs="Arial"/>
          <w:b/>
          <w:bCs/>
          <w:sz w:val="20"/>
          <w:lang w:val="en-GB"/>
        </w:rPr>
        <w:t xml:space="preserve"> </w:t>
      </w:r>
      <w:r w:rsidRPr="008E1631">
        <w:rPr>
          <w:rFonts w:ascii="BNPP Sans Light" w:hAnsi="BNPP Sans Light" w:cs="Calibri"/>
          <w:sz w:val="20"/>
          <w:lang w:val="en-GB"/>
        </w:rPr>
        <w:t>|</w:t>
      </w:r>
      <w:r w:rsidRPr="008E1631">
        <w:rPr>
          <w:rFonts w:ascii="BNPP Sans Light" w:hAnsi="BNPP Sans Light" w:cs="Arial"/>
          <w:sz w:val="20"/>
          <w:lang w:val="en-GB"/>
        </w:rPr>
        <w:t xml:space="preserve"> </w:t>
      </w:r>
      <w:r w:rsidRPr="008E1631">
        <w:rPr>
          <w:rFonts w:ascii="BNPP Sans Light" w:hAnsi="BNPP Sans Light" w:cs="Calibri"/>
          <w:sz w:val="20"/>
          <w:lang w:val="en-GB"/>
        </w:rPr>
        <w:t xml:space="preserve">Press Officer </w:t>
      </w:r>
    </w:p>
    <w:p w14:paraId="2A068D5C" w14:textId="4D4AAD22" w:rsidR="00107B3C" w:rsidRPr="008E1631" w:rsidRDefault="00107B3C" w:rsidP="00107B3C">
      <w:pPr>
        <w:autoSpaceDE w:val="0"/>
        <w:autoSpaceDN w:val="0"/>
        <w:adjustRightInd w:val="0"/>
        <w:spacing w:line="240" w:lineRule="auto"/>
        <w:jc w:val="left"/>
        <w:rPr>
          <w:rFonts w:ascii="BNPP Sans Light" w:hAnsi="BNPP Sans Light" w:cs="Calibri"/>
          <w:sz w:val="20"/>
          <w:lang w:val="en-GB"/>
        </w:rPr>
      </w:pPr>
      <w:r w:rsidRPr="008E1631">
        <w:rPr>
          <w:rFonts w:ascii="BNPP Sans Light" w:hAnsi="BNPP Sans Light" w:cs="Calibri"/>
          <w:sz w:val="20"/>
          <w:lang w:val="en-GB"/>
        </w:rPr>
        <w:t xml:space="preserve">+32 </w:t>
      </w:r>
      <w:r w:rsidR="00D52E1A" w:rsidRPr="008E1631">
        <w:rPr>
          <w:rFonts w:ascii="BNPP Sans Light" w:hAnsi="BNPP Sans Light" w:cs="Calibri"/>
          <w:sz w:val="20"/>
          <w:lang w:val="en-GB"/>
        </w:rPr>
        <w:t>(0)</w:t>
      </w:r>
      <w:r w:rsidRPr="008E1631">
        <w:rPr>
          <w:rFonts w:ascii="BNPP Sans Light" w:hAnsi="BNPP Sans Light" w:cs="Calibri"/>
          <w:sz w:val="20"/>
          <w:lang w:val="en-GB"/>
        </w:rPr>
        <w:t>498 32 14 94</w:t>
      </w:r>
    </w:p>
    <w:p w14:paraId="5869D25F" w14:textId="44E0C92B" w:rsidR="00107B3C" w:rsidRPr="00513D6C" w:rsidRDefault="00382562" w:rsidP="00107B3C">
      <w:pPr>
        <w:autoSpaceDE w:val="0"/>
        <w:autoSpaceDN w:val="0"/>
        <w:adjustRightInd w:val="0"/>
        <w:spacing w:line="240" w:lineRule="auto"/>
        <w:jc w:val="left"/>
        <w:rPr>
          <w:rFonts w:ascii="BNPP Sans Light" w:hAnsi="BNPP Sans Light" w:cs="Arial"/>
          <w:color w:val="0000FF"/>
          <w:sz w:val="20"/>
          <w:u w:val="single"/>
          <w:lang w:val="en-US"/>
        </w:rPr>
      </w:pPr>
      <w:hyperlink r:id="rId6" w:history="1">
        <w:r w:rsidR="00107B3C" w:rsidRPr="009F0F84">
          <w:rPr>
            <w:rFonts w:ascii="BNPP Sans Light" w:hAnsi="BNPP Sans Light" w:cs="Arial"/>
            <w:color w:val="0000FF"/>
            <w:sz w:val="20"/>
            <w:u w:val="single"/>
            <w:lang w:val="en-US"/>
          </w:rPr>
          <w:t>jeroen.petrus@bnpparibasfortis.com</w:t>
        </w:r>
      </w:hyperlink>
    </w:p>
    <w:p w14:paraId="7E924BF6" w14:textId="4D79184C" w:rsidR="009F0F84" w:rsidRPr="00513D6C" w:rsidRDefault="009F0F84" w:rsidP="00107B3C">
      <w:pPr>
        <w:autoSpaceDE w:val="0"/>
        <w:autoSpaceDN w:val="0"/>
        <w:adjustRightInd w:val="0"/>
        <w:spacing w:line="240" w:lineRule="auto"/>
        <w:jc w:val="left"/>
        <w:rPr>
          <w:rFonts w:ascii="BNPP Sans Light" w:hAnsi="BNPP Sans Light" w:cs="Arial"/>
          <w:color w:val="0000FF"/>
          <w:sz w:val="20"/>
          <w:u w:val="single"/>
          <w:lang w:val="en-US"/>
        </w:rPr>
      </w:pPr>
    </w:p>
    <w:p w14:paraId="660A4829" w14:textId="77777777" w:rsidR="00D27AD2" w:rsidRPr="005A2563" w:rsidRDefault="00D27AD2" w:rsidP="00D27AD2">
      <w:pPr>
        <w:jc w:val="center"/>
        <w:rPr>
          <w:rFonts w:ascii="BNPP Sans Light" w:hAnsi="BNPP Sans Light"/>
          <w:lang w:val="en-US"/>
        </w:rPr>
      </w:pPr>
      <w:r w:rsidRPr="005A2563">
        <w:rPr>
          <w:rFonts w:ascii="BNPP Sans Light" w:hAnsi="BNPP Sans Light"/>
          <w:lang w:val="en-US"/>
        </w:rPr>
        <w:t>---</w:t>
      </w:r>
    </w:p>
    <w:p w14:paraId="6EB85915" w14:textId="77777777" w:rsidR="00107B3C" w:rsidRPr="009F0F84" w:rsidRDefault="00107B3C" w:rsidP="00107B3C">
      <w:pPr>
        <w:rPr>
          <w:rFonts w:ascii="BNPP Sans Light" w:hAnsi="BNPP Sans Light"/>
          <w:sz w:val="20"/>
          <w:lang w:val="en-US"/>
        </w:rPr>
      </w:pPr>
    </w:p>
    <w:p w14:paraId="78F12111" w14:textId="3AA7AB5A" w:rsidR="00D807BB" w:rsidRDefault="00D807BB" w:rsidP="009528D7">
      <w:pPr>
        <w:autoSpaceDE w:val="0"/>
        <w:autoSpaceDN w:val="0"/>
        <w:adjustRightInd w:val="0"/>
        <w:spacing w:line="276" w:lineRule="auto"/>
        <w:rPr>
          <w:rFonts w:ascii="BNPP Sans Light" w:hAnsi="BNPP Sans Light" w:cs="Arial"/>
          <w:i/>
          <w:sz w:val="18"/>
          <w:szCs w:val="18"/>
        </w:rPr>
      </w:pPr>
      <w:r w:rsidRPr="008E1631">
        <w:rPr>
          <w:rFonts w:ascii="BNPP Sans Light" w:hAnsi="BNPP Sans Light" w:cs="Arial"/>
          <w:b/>
          <w:i/>
          <w:sz w:val="18"/>
          <w:szCs w:val="18"/>
        </w:rPr>
        <w:t>BNP Paribas Fortis</w:t>
      </w:r>
      <w:r w:rsidRPr="008E1631">
        <w:rPr>
          <w:rFonts w:ascii="BNPP Sans Light" w:hAnsi="BNPP Sans Light" w:cs="Arial"/>
          <w:i/>
          <w:sz w:val="18"/>
          <w:szCs w:val="18"/>
        </w:rPr>
        <w:t xml:space="preserve"> (</w:t>
      </w:r>
      <w:hyperlink r:id="rId7" w:history="1">
        <w:r w:rsidRPr="008E1631">
          <w:rPr>
            <w:rStyle w:val="Hyperlink"/>
            <w:rFonts w:ascii="BNPP Sans Light" w:hAnsi="BNPP Sans Light" w:cs="Arial"/>
            <w:i/>
            <w:sz w:val="18"/>
            <w:szCs w:val="18"/>
          </w:rPr>
          <w:t>www.bnpparibasfortis.com</w:t>
        </w:r>
      </w:hyperlink>
      <w:r w:rsidRPr="008E1631">
        <w:rPr>
          <w:rFonts w:ascii="BNPP Sans Light" w:hAnsi="BNPP Sans Light" w:cs="Arial"/>
          <w:i/>
          <w:sz w:val="18"/>
          <w:szCs w:val="18"/>
        </w:rPr>
        <w:t>) commercialise sur le marché belge un éventail complet de services financiers auprès des particuliers, indépendants, titulaires de professions libérales, entreprises et organisations publiques. Dans le secteur des assurances, BNP Paribas Fortis opère en étroite collaboration, en tant qu’agent d’assurance lié, avec AG Insurance, leader du marché belge. Au niveau international, la banque propose des solutions sur mesure aux particuliers fortunés, aux grandes entreprises et aux institutions publiques et financières, en s'appuyant sur la compétence et le réseau international de BNP Paribas.</w:t>
      </w:r>
    </w:p>
    <w:p w14:paraId="4D657C47" w14:textId="77777777" w:rsidR="009528D7" w:rsidRPr="008E1631" w:rsidRDefault="009528D7" w:rsidP="009528D7">
      <w:pPr>
        <w:autoSpaceDE w:val="0"/>
        <w:autoSpaceDN w:val="0"/>
        <w:adjustRightInd w:val="0"/>
        <w:spacing w:line="276" w:lineRule="auto"/>
        <w:rPr>
          <w:rFonts w:ascii="BNPP Sans Light" w:hAnsi="BNPP Sans Light"/>
          <w:i/>
          <w:sz w:val="18"/>
          <w:szCs w:val="18"/>
          <w:lang w:val="fr-BE"/>
        </w:rPr>
      </w:pPr>
    </w:p>
    <w:p w14:paraId="766D4540" w14:textId="7E5F0531" w:rsidR="001868AC" w:rsidRPr="008E1631" w:rsidRDefault="00D807BB" w:rsidP="009F0F84">
      <w:pPr>
        <w:autoSpaceDE w:val="0"/>
        <w:autoSpaceDN w:val="0"/>
        <w:spacing w:line="276" w:lineRule="auto"/>
        <w:rPr>
          <w:rFonts w:ascii="BNPP Sans Light" w:hAnsi="BNPP Sans Light" w:cs="BNPP Sans Light"/>
          <w:i/>
          <w:color w:val="000000"/>
          <w:sz w:val="18"/>
          <w:szCs w:val="18"/>
        </w:rPr>
      </w:pPr>
      <w:r w:rsidRPr="008E1631">
        <w:rPr>
          <w:rFonts w:ascii="BNPP Sans Light" w:hAnsi="BNPP Sans Light" w:cs="Arial"/>
          <w:b/>
          <w:i/>
          <w:sz w:val="18"/>
          <w:szCs w:val="18"/>
        </w:rPr>
        <w:t>BNP Paribas</w:t>
      </w:r>
      <w:r w:rsidRPr="008E1631">
        <w:rPr>
          <w:rFonts w:ascii="BNPP Sans Light" w:hAnsi="BNPP Sans Light" w:cs="Arial"/>
          <w:i/>
          <w:sz w:val="18"/>
          <w:szCs w:val="18"/>
        </w:rPr>
        <w:t xml:space="preserve"> (</w:t>
      </w:r>
      <w:hyperlink r:id="rId8" w:history="1">
        <w:r w:rsidRPr="008E1631">
          <w:rPr>
            <w:rStyle w:val="Hyperlink"/>
            <w:rFonts w:ascii="BNPP Sans Light" w:hAnsi="BNPP Sans Light" w:cs="Arial"/>
            <w:i/>
            <w:sz w:val="18"/>
            <w:szCs w:val="18"/>
          </w:rPr>
          <w:t>www.bnpparibas.com</w:t>
        </w:r>
      </w:hyperlink>
      <w:r w:rsidRPr="008E1631">
        <w:rPr>
          <w:rFonts w:ascii="BNPP Sans Light" w:hAnsi="BNPP Sans Light" w:cs="Arial"/>
          <w:i/>
          <w:sz w:val="18"/>
          <w:szCs w:val="18"/>
        </w:rPr>
        <w:t xml:space="preserve">) </w:t>
      </w:r>
      <w:r w:rsidR="0027625F" w:rsidRPr="00112E74">
        <w:rPr>
          <w:rFonts w:ascii="BNPP Sans Light" w:hAnsi="BNPP Sans Light" w:cs="Arial"/>
          <w:bCs/>
          <w:i/>
          <w:sz w:val="18"/>
          <w:szCs w:val="18"/>
        </w:rPr>
        <w:t>est la première banque de l’Union européenne et un acteur bancaire international de premier plan. Elle est présente dans 68 pays et rassemble</w:t>
      </w:r>
      <w:r w:rsidR="0027625F" w:rsidRPr="00112E74">
        <w:rPr>
          <w:rFonts w:ascii="Calibri" w:hAnsi="Calibri" w:cs="Calibri"/>
          <w:bCs/>
          <w:i/>
          <w:sz w:val="18"/>
          <w:szCs w:val="18"/>
        </w:rPr>
        <w:t> </w:t>
      </w:r>
      <w:r w:rsidR="0027625F" w:rsidRPr="00112E74">
        <w:rPr>
          <w:rFonts w:ascii="BNPP Sans Light" w:hAnsi="BNPP Sans Light" w:cs="Arial"/>
          <w:bCs/>
          <w:i/>
          <w:sz w:val="18"/>
          <w:szCs w:val="18"/>
        </w:rPr>
        <w:t xml:space="preserve">plus de 193 000 collaborateurs, dont près de 148 000 en Europe. Le Groupe détient des positions clés dans ses trois grands pôles opérationnels : Retail Banking pour l’ensemble des réseaux des banques de détail du Groupe et plusieurs métiers spécialisés parmi lesquels BNP Paribas </w:t>
      </w:r>
      <w:proofErr w:type="spellStart"/>
      <w:r w:rsidR="0027625F" w:rsidRPr="00112E74">
        <w:rPr>
          <w:rFonts w:ascii="BNPP Sans Light" w:hAnsi="BNPP Sans Light" w:cs="Arial"/>
          <w:bCs/>
          <w:i/>
          <w:sz w:val="18"/>
          <w:szCs w:val="18"/>
        </w:rPr>
        <w:t>Personal</w:t>
      </w:r>
      <w:proofErr w:type="spellEnd"/>
      <w:r w:rsidR="0027625F" w:rsidRPr="00112E74">
        <w:rPr>
          <w:rFonts w:ascii="BNPP Sans Light" w:hAnsi="BNPP Sans Light" w:cs="Arial"/>
          <w:bCs/>
          <w:i/>
          <w:sz w:val="18"/>
          <w:szCs w:val="18"/>
        </w:rPr>
        <w:t xml:space="preserve"> Finance ou encore Arval ; Investment &amp; Protection </w:t>
      </w:r>
      <w:r w:rsidR="0027625F" w:rsidRPr="00112E74">
        <w:rPr>
          <w:rFonts w:ascii="BNPP Sans Light" w:hAnsi="BNPP Sans Light" w:cs="Arial"/>
          <w:bCs/>
          <w:i/>
          <w:sz w:val="18"/>
          <w:szCs w:val="18"/>
        </w:rPr>
        <w:lastRenderedPageBreak/>
        <w:t>Services pour les solutions d’épargne, d’investissement et de protection</w:t>
      </w:r>
      <w:r w:rsidR="0027625F" w:rsidRPr="00112E74">
        <w:rPr>
          <w:rFonts w:ascii="Calibri" w:hAnsi="Calibri" w:cs="Calibri"/>
          <w:bCs/>
          <w:i/>
          <w:sz w:val="18"/>
          <w:szCs w:val="18"/>
        </w:rPr>
        <w:t> </w:t>
      </w:r>
      <w:r w:rsidR="0027625F" w:rsidRPr="00112E74">
        <w:rPr>
          <w:rFonts w:ascii="BNPP Sans Light" w:hAnsi="BNPP Sans Light" w:cs="Arial"/>
          <w:bCs/>
          <w:i/>
          <w:sz w:val="18"/>
          <w:szCs w:val="18"/>
        </w:rPr>
        <w:t xml:space="preserve">; et Corporate &amp; </w:t>
      </w:r>
      <w:proofErr w:type="spellStart"/>
      <w:r w:rsidR="0027625F" w:rsidRPr="00112E74">
        <w:rPr>
          <w:rFonts w:ascii="BNPP Sans Light" w:hAnsi="BNPP Sans Light" w:cs="Arial"/>
          <w:bCs/>
          <w:i/>
          <w:sz w:val="18"/>
          <w:szCs w:val="18"/>
        </w:rPr>
        <w:t>Institutional</w:t>
      </w:r>
      <w:proofErr w:type="spellEnd"/>
      <w:r w:rsidR="0027625F" w:rsidRPr="00112E74">
        <w:rPr>
          <w:rFonts w:ascii="BNPP Sans Light" w:hAnsi="BNPP Sans Light" w:cs="Arial"/>
          <w:bCs/>
          <w:i/>
          <w:sz w:val="18"/>
          <w:szCs w:val="18"/>
        </w:rPr>
        <w:t xml:space="preserve"> Banking, centr</w:t>
      </w:r>
      <w:r w:rsidR="0027625F" w:rsidRPr="00112E74">
        <w:rPr>
          <w:rFonts w:ascii="BNPP Sans Light" w:hAnsi="BNPP Sans Light" w:cs="BNPP Sans Light"/>
          <w:bCs/>
          <w:i/>
          <w:sz w:val="18"/>
          <w:szCs w:val="18"/>
        </w:rPr>
        <w:t>é</w:t>
      </w:r>
      <w:r w:rsidR="0027625F" w:rsidRPr="00112E74">
        <w:rPr>
          <w:rFonts w:ascii="BNPP Sans Light" w:hAnsi="BNPP Sans Light" w:cs="Arial"/>
          <w:bCs/>
          <w:i/>
          <w:sz w:val="18"/>
          <w:szCs w:val="18"/>
        </w:rPr>
        <w:t xml:space="preserve"> sur les client</w:t>
      </w:r>
      <w:r w:rsidR="0027625F" w:rsidRPr="00112E74">
        <w:rPr>
          <w:rFonts w:ascii="BNPP Sans Light" w:hAnsi="BNPP Sans Light" w:cs="BNPP Sans Light"/>
          <w:bCs/>
          <w:i/>
          <w:sz w:val="18"/>
          <w:szCs w:val="18"/>
        </w:rPr>
        <w:t>è</w:t>
      </w:r>
      <w:r w:rsidR="0027625F" w:rsidRPr="00112E74">
        <w:rPr>
          <w:rFonts w:ascii="BNPP Sans Light" w:hAnsi="BNPP Sans Light" w:cs="Arial"/>
          <w:bCs/>
          <w:i/>
          <w:sz w:val="18"/>
          <w:szCs w:val="18"/>
        </w:rPr>
        <w:t>les Entreprises et Institutionnels. Fort d</w:t>
      </w:r>
      <w:r w:rsidR="0027625F" w:rsidRPr="00112E74">
        <w:rPr>
          <w:rFonts w:ascii="BNPP Sans Light" w:hAnsi="BNPP Sans Light" w:cs="BNPP Sans Light"/>
          <w:bCs/>
          <w:i/>
          <w:sz w:val="18"/>
          <w:szCs w:val="18"/>
        </w:rPr>
        <w:t>’</w:t>
      </w:r>
      <w:r w:rsidR="0027625F" w:rsidRPr="00112E74">
        <w:rPr>
          <w:rFonts w:ascii="BNPP Sans Light" w:hAnsi="BNPP Sans Light" w:cs="Arial"/>
          <w:bCs/>
          <w:i/>
          <w:sz w:val="18"/>
          <w:szCs w:val="18"/>
        </w:rPr>
        <w:t>un solide modèle diversifié et intégré, le Groupe accompagne l’ensemble de ses clients (particuliers, associations, entrepreneurs, PME, grandes entreprises et institutionnels) pour les aider à réaliser leurs projets en leur proposant des services de financement, d’investissement, d’épargne ou de protection. En Europe, BNP Paribas est composé de quatre marchés domestiques</w:t>
      </w:r>
      <w:r w:rsidR="0027625F" w:rsidRPr="00112E74">
        <w:rPr>
          <w:rFonts w:ascii="Calibri" w:hAnsi="Calibri" w:cs="Calibri"/>
          <w:bCs/>
          <w:i/>
          <w:sz w:val="18"/>
          <w:szCs w:val="18"/>
        </w:rPr>
        <w:t> </w:t>
      </w:r>
      <w:r w:rsidR="0027625F" w:rsidRPr="00112E74">
        <w:rPr>
          <w:rFonts w:ascii="BNPP Sans Light" w:hAnsi="BNPP Sans Light" w:cs="Arial"/>
          <w:bCs/>
          <w:i/>
          <w:sz w:val="18"/>
          <w:szCs w:val="18"/>
        </w:rPr>
        <w:t>: la Belgique, la France, l'Italie et le Luxembourg. Le Groupe d</w:t>
      </w:r>
      <w:r w:rsidR="0027625F" w:rsidRPr="00112E74">
        <w:rPr>
          <w:rFonts w:ascii="BNPP Sans Light" w:hAnsi="BNPP Sans Light" w:cs="BNPP Sans Light"/>
          <w:bCs/>
          <w:i/>
          <w:sz w:val="18"/>
          <w:szCs w:val="18"/>
        </w:rPr>
        <w:t>é</w:t>
      </w:r>
      <w:r w:rsidR="0027625F" w:rsidRPr="00112E74">
        <w:rPr>
          <w:rFonts w:ascii="BNPP Sans Light" w:hAnsi="BNPP Sans Light" w:cs="Arial"/>
          <w:bCs/>
          <w:i/>
          <w:sz w:val="18"/>
          <w:szCs w:val="18"/>
        </w:rPr>
        <w:t xml:space="preserve">ploie </w:t>
      </w:r>
      <w:r w:rsidR="0027625F" w:rsidRPr="00112E74">
        <w:rPr>
          <w:rFonts w:ascii="BNPP Sans Light" w:hAnsi="BNPP Sans Light" w:cs="BNPP Sans Light"/>
          <w:bCs/>
          <w:i/>
          <w:sz w:val="18"/>
          <w:szCs w:val="18"/>
        </w:rPr>
        <w:t>é</w:t>
      </w:r>
      <w:r w:rsidR="0027625F" w:rsidRPr="00112E74">
        <w:rPr>
          <w:rFonts w:ascii="BNPP Sans Light" w:hAnsi="BNPP Sans Light" w:cs="Arial"/>
          <w:bCs/>
          <w:i/>
          <w:sz w:val="18"/>
          <w:szCs w:val="18"/>
        </w:rPr>
        <w:t>galement son mod</w:t>
      </w:r>
      <w:r w:rsidR="0027625F" w:rsidRPr="00112E74">
        <w:rPr>
          <w:rFonts w:ascii="BNPP Sans Light" w:hAnsi="BNPP Sans Light" w:cs="BNPP Sans Light"/>
          <w:bCs/>
          <w:i/>
          <w:sz w:val="18"/>
          <w:szCs w:val="18"/>
        </w:rPr>
        <w:t>è</w:t>
      </w:r>
      <w:r w:rsidR="0027625F" w:rsidRPr="00112E74">
        <w:rPr>
          <w:rFonts w:ascii="BNPP Sans Light" w:hAnsi="BNPP Sans Light" w:cs="Arial"/>
          <w:bCs/>
          <w:i/>
          <w:sz w:val="18"/>
          <w:szCs w:val="18"/>
        </w:rPr>
        <w:t>le int</w:t>
      </w:r>
      <w:r w:rsidR="0027625F" w:rsidRPr="00112E74">
        <w:rPr>
          <w:rFonts w:ascii="BNPP Sans Light" w:hAnsi="BNPP Sans Light" w:cs="BNPP Sans Light"/>
          <w:bCs/>
          <w:i/>
          <w:sz w:val="18"/>
          <w:szCs w:val="18"/>
        </w:rPr>
        <w:t>é</w:t>
      </w:r>
      <w:r w:rsidR="0027625F" w:rsidRPr="00112E74">
        <w:rPr>
          <w:rFonts w:ascii="BNPP Sans Light" w:hAnsi="BNPP Sans Light" w:cs="Arial"/>
          <w:bCs/>
          <w:i/>
          <w:sz w:val="18"/>
          <w:szCs w:val="18"/>
        </w:rPr>
        <w:t>gr</w:t>
      </w:r>
      <w:r w:rsidR="0027625F" w:rsidRPr="00112E74">
        <w:rPr>
          <w:rFonts w:ascii="BNPP Sans Light" w:hAnsi="BNPP Sans Light" w:cs="BNPP Sans Light"/>
          <w:bCs/>
          <w:i/>
          <w:sz w:val="18"/>
          <w:szCs w:val="18"/>
        </w:rPr>
        <w:t>é</w:t>
      </w:r>
      <w:r w:rsidR="0027625F" w:rsidRPr="00112E74">
        <w:rPr>
          <w:rFonts w:ascii="BNPP Sans Light" w:hAnsi="BNPP Sans Light" w:cs="Arial"/>
          <w:bCs/>
          <w:i/>
          <w:sz w:val="18"/>
          <w:szCs w:val="18"/>
        </w:rPr>
        <w:t xml:space="preserve"> de banque de d</w:t>
      </w:r>
      <w:r w:rsidR="0027625F" w:rsidRPr="00112E74">
        <w:rPr>
          <w:rFonts w:ascii="BNPP Sans Light" w:hAnsi="BNPP Sans Light" w:cs="BNPP Sans Light"/>
          <w:bCs/>
          <w:i/>
          <w:sz w:val="18"/>
          <w:szCs w:val="18"/>
        </w:rPr>
        <w:t>é</w:t>
      </w:r>
      <w:r w:rsidR="0027625F" w:rsidRPr="00112E74">
        <w:rPr>
          <w:rFonts w:ascii="BNPP Sans Light" w:hAnsi="BNPP Sans Light" w:cs="Arial"/>
          <w:bCs/>
          <w:i/>
          <w:sz w:val="18"/>
          <w:szCs w:val="18"/>
        </w:rPr>
        <w:t>tail dans les pays du bassin méditerranéen, en Turquie, en Europe de l’Est et sur la côte ouest des Etats-Unis.</w:t>
      </w:r>
      <w:r w:rsidR="009528D7">
        <w:rPr>
          <w:rFonts w:ascii="BNPP Sans Light" w:hAnsi="BNPP Sans Light" w:cs="Arial"/>
          <w:bCs/>
          <w:i/>
          <w:sz w:val="18"/>
          <w:szCs w:val="18"/>
        </w:rPr>
        <w:t xml:space="preserve"> </w:t>
      </w:r>
      <w:r w:rsidR="0027625F" w:rsidRPr="00112E74">
        <w:rPr>
          <w:rFonts w:ascii="BNPP Sans Light" w:hAnsi="BNPP Sans Light" w:cs="Arial"/>
          <w:bCs/>
          <w:i/>
          <w:sz w:val="18"/>
          <w:szCs w:val="18"/>
        </w:rPr>
        <w:t>Acteur bancaire international de premier plan, le Groupe dispose de plateformes et de métiers leaders en Europe, d’une forte présence dans la zone Amériques, ainsi que d’un dispositif solide et en forte croissance en Asie-Pacifique. BNP Paribas met en œuvre</w:t>
      </w:r>
      <w:r w:rsidR="0027625F" w:rsidRPr="00112E74">
        <w:rPr>
          <w:rFonts w:ascii="Calibri" w:hAnsi="Calibri" w:cs="Calibri"/>
          <w:bCs/>
          <w:i/>
          <w:sz w:val="18"/>
          <w:szCs w:val="18"/>
        </w:rPr>
        <w:t> </w:t>
      </w:r>
      <w:r w:rsidR="0027625F" w:rsidRPr="00112E74">
        <w:rPr>
          <w:rFonts w:ascii="BNPP Sans Light" w:hAnsi="BNPP Sans Light" w:cs="Arial"/>
          <w:bCs/>
          <w:i/>
          <w:sz w:val="18"/>
          <w:szCs w:val="18"/>
        </w:rPr>
        <w:t>dans l</w:t>
      </w:r>
      <w:r w:rsidR="0027625F" w:rsidRPr="00112E74">
        <w:rPr>
          <w:rFonts w:ascii="BNPP Sans Light" w:hAnsi="BNPP Sans Light" w:cs="BNPP Sans Light"/>
          <w:bCs/>
          <w:i/>
          <w:sz w:val="18"/>
          <w:szCs w:val="18"/>
        </w:rPr>
        <w:t>’</w:t>
      </w:r>
      <w:r w:rsidR="0027625F" w:rsidRPr="00112E74">
        <w:rPr>
          <w:rFonts w:ascii="BNPP Sans Light" w:hAnsi="BNPP Sans Light" w:cs="Arial"/>
          <w:bCs/>
          <w:i/>
          <w:sz w:val="18"/>
          <w:szCs w:val="18"/>
        </w:rPr>
        <w:t>ensemble de ses activit</w:t>
      </w:r>
      <w:r w:rsidR="0027625F" w:rsidRPr="00112E74">
        <w:rPr>
          <w:rFonts w:ascii="BNPP Sans Light" w:hAnsi="BNPP Sans Light" w:cs="BNPP Sans Light"/>
          <w:bCs/>
          <w:i/>
          <w:sz w:val="18"/>
          <w:szCs w:val="18"/>
        </w:rPr>
        <w:t>é</w:t>
      </w:r>
      <w:r w:rsidR="0027625F" w:rsidRPr="00112E74">
        <w:rPr>
          <w:rFonts w:ascii="BNPP Sans Light" w:hAnsi="BNPP Sans Light" w:cs="Arial"/>
          <w:bCs/>
          <w:i/>
          <w:sz w:val="18"/>
          <w:szCs w:val="18"/>
        </w:rPr>
        <w:t>s une d</w:t>
      </w:r>
      <w:r w:rsidR="0027625F" w:rsidRPr="00112E74">
        <w:rPr>
          <w:rFonts w:ascii="BNPP Sans Light" w:hAnsi="BNPP Sans Light" w:cs="BNPP Sans Light"/>
          <w:bCs/>
          <w:i/>
          <w:sz w:val="18"/>
          <w:szCs w:val="18"/>
        </w:rPr>
        <w:t>é</w:t>
      </w:r>
      <w:r w:rsidR="0027625F" w:rsidRPr="00112E74">
        <w:rPr>
          <w:rFonts w:ascii="BNPP Sans Light" w:hAnsi="BNPP Sans Light" w:cs="Arial"/>
          <w:bCs/>
          <w:i/>
          <w:sz w:val="18"/>
          <w:szCs w:val="18"/>
        </w:rPr>
        <w:t>marche de Responsabilit</w:t>
      </w:r>
      <w:r w:rsidR="0027625F" w:rsidRPr="00112E74">
        <w:rPr>
          <w:rFonts w:ascii="BNPP Sans Light" w:hAnsi="BNPP Sans Light" w:cs="BNPP Sans Light"/>
          <w:bCs/>
          <w:i/>
          <w:sz w:val="18"/>
          <w:szCs w:val="18"/>
        </w:rPr>
        <w:t>é</w:t>
      </w:r>
      <w:r w:rsidR="0027625F" w:rsidRPr="00112E74">
        <w:rPr>
          <w:rFonts w:ascii="BNPP Sans Light" w:hAnsi="BNPP Sans Light" w:cs="Arial"/>
          <w:bCs/>
          <w:i/>
          <w:sz w:val="18"/>
          <w:szCs w:val="18"/>
        </w:rPr>
        <w:t xml:space="preserve"> Sociale et Environnementale lui permettant de contribuer </w:t>
      </w:r>
      <w:r w:rsidR="0027625F" w:rsidRPr="00112E74">
        <w:rPr>
          <w:rFonts w:ascii="BNPP Sans Light" w:hAnsi="BNPP Sans Light" w:cs="BNPP Sans Light"/>
          <w:bCs/>
          <w:i/>
          <w:sz w:val="18"/>
          <w:szCs w:val="18"/>
        </w:rPr>
        <w:t>à</w:t>
      </w:r>
      <w:r w:rsidR="0027625F" w:rsidRPr="00112E74">
        <w:rPr>
          <w:rFonts w:ascii="BNPP Sans Light" w:hAnsi="BNPP Sans Light" w:cs="Arial"/>
          <w:bCs/>
          <w:i/>
          <w:sz w:val="18"/>
          <w:szCs w:val="18"/>
        </w:rPr>
        <w:t xml:space="preserve"> la construction d</w:t>
      </w:r>
      <w:r w:rsidR="0027625F" w:rsidRPr="00112E74">
        <w:rPr>
          <w:rFonts w:ascii="BNPP Sans Light" w:hAnsi="BNPP Sans Light" w:cs="BNPP Sans Light"/>
          <w:bCs/>
          <w:i/>
          <w:sz w:val="18"/>
          <w:szCs w:val="18"/>
        </w:rPr>
        <w:t>’</w:t>
      </w:r>
      <w:r w:rsidR="0027625F" w:rsidRPr="00112E74">
        <w:rPr>
          <w:rFonts w:ascii="BNPP Sans Light" w:hAnsi="BNPP Sans Light" w:cs="Arial"/>
          <w:bCs/>
          <w:i/>
          <w:sz w:val="18"/>
          <w:szCs w:val="18"/>
        </w:rPr>
        <w:t>un futur durable, tout en assurant la performance et la stabilité du Groupe.</w:t>
      </w:r>
    </w:p>
    <w:sectPr w:rsidR="001868AC" w:rsidRPr="008E1631" w:rsidSect="00991878">
      <w:footerReference w:type="default" r:id="rId9"/>
      <w:pgSz w:w="11906" w:h="16838" w:code="9"/>
      <w:pgMar w:top="851" w:right="851" w:bottom="1418" w:left="851"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52B63" w14:textId="77777777" w:rsidR="0095196F" w:rsidRDefault="0095196F" w:rsidP="008C4C01">
      <w:r>
        <w:separator/>
      </w:r>
    </w:p>
  </w:endnote>
  <w:endnote w:type="continuationSeparator" w:id="0">
    <w:p w14:paraId="02C66C13" w14:textId="77777777" w:rsidR="0095196F" w:rsidRDefault="0095196F" w:rsidP="008C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NPP Sans">
    <w:altName w:val="Calibri"/>
    <w:panose1 w:val="02000000000000000000"/>
    <w:charset w:val="00"/>
    <w:family w:val="auto"/>
    <w:pitch w:val="variable"/>
    <w:sig w:usb0="A00002AF" w:usb1="4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BNPP Sans Light">
    <w:panose1 w:val="02000503020000020004"/>
    <w:charset w:val="00"/>
    <w:family w:val="auto"/>
    <w:pitch w:val="variable"/>
    <w:sig w:usb0="A00002AF" w:usb1="4000204A"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00182" w14:textId="77777777" w:rsidR="00D27AD2" w:rsidRDefault="00D27AD2" w:rsidP="008C4C01">
    <w:pPr>
      <w:pStyle w:val="Footer"/>
    </w:pPr>
  </w:p>
  <w:p w14:paraId="2EC86EC3" w14:textId="3ADDC01E" w:rsidR="00161CB7" w:rsidRDefault="00066B01" w:rsidP="008C4C01">
    <w:pPr>
      <w:pStyle w:val="Footer"/>
    </w:pPr>
    <w:r>
      <w:rPr>
        <w:noProof/>
        <w:lang w:val="en-GB" w:eastAsia="en-GB"/>
      </w:rPr>
      <mc:AlternateContent>
        <mc:Choice Requires="wps">
          <w:drawing>
            <wp:anchor distT="0" distB="0" distL="114300" distR="114300" simplePos="0" relativeHeight="251658752" behindDoc="0" locked="0" layoutInCell="0" allowOverlap="1" wp14:anchorId="0215F256" wp14:editId="2C5B8629">
              <wp:simplePos x="0" y="0"/>
              <wp:positionH relativeFrom="page">
                <wp:posOffset>0</wp:posOffset>
              </wp:positionH>
              <wp:positionV relativeFrom="page">
                <wp:posOffset>10227945</wp:posOffset>
              </wp:positionV>
              <wp:extent cx="7560310" cy="273050"/>
              <wp:effectExtent l="0" t="0" r="0" b="12700"/>
              <wp:wrapNone/>
              <wp:docPr id="2" name="MSIPCM8ced4cb9a6a9c79456235daa" descr="{&quot;HashCode&quot;:1859994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ACBB83" w14:textId="2E516DE4" w:rsidR="00066B01" w:rsidRPr="00066B01" w:rsidRDefault="00066B01" w:rsidP="00066B01">
                          <w:pPr>
                            <w:jc w:val="right"/>
                            <w:rPr>
                              <w:rFonts w:ascii="Calibri" w:hAnsi="Calibri" w:cs="Calibri"/>
                              <w:color w:val="0000FF"/>
                              <w:sz w:val="20"/>
                            </w:rPr>
                          </w:pPr>
                        </w:p>
                      </w:txbxContent>
                    </wps:txbx>
                    <wps:bodyPr rot="0" spcFirstLastPara="0" vertOverflow="overflow" horzOverflow="overflow" vert="horz" wrap="square" lIns="0" tIns="0" rIns="254000" bIns="0" numCol="1" spcCol="0" rtlCol="0" fromWordArt="0" anchor="b" anchorCtr="0" forceAA="0" compatLnSpc="1">
                      <a:prstTxWarp prst="textNoShape">
                        <a:avLst/>
                      </a:prstTxWarp>
                      <a:noAutofit/>
                    </wps:bodyPr>
                  </wps:wsp>
                </a:graphicData>
              </a:graphic>
            </wp:anchor>
          </w:drawing>
        </mc:Choice>
        <mc:Fallback>
          <w:pict>
            <v:shapetype w14:anchorId="0215F256" id="_x0000_t202" coordsize="21600,21600" o:spt="202" path="m,l,21600r21600,l21600,xe">
              <v:stroke joinstyle="miter"/>
              <v:path gradientshapeok="t" o:connecttype="rect"/>
            </v:shapetype>
            <v:shape id="MSIPCM8ced4cb9a6a9c79456235daa" o:spid="_x0000_s1027" type="#_x0000_t202" alt="{&quot;HashCode&quot;:1859994762,&quot;Height&quot;:841.0,&quot;Width&quot;:595.0,&quot;Placement&quot;:&quot;Footer&quot;,&quot;Index&quot;:&quot;Primary&quot;,&quot;Section&quot;:1,&quot;Top&quot;:0.0,&quot;Left&quot;:0.0}" style="position:absolute;left:0;text-align:left;margin-left:0;margin-top:805.3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" o:allowincell="f" filled="f" stroked="f" strokeweight=".5pt">
              <v:textbox inset="0,0,20pt,0">
                <w:txbxContent>
                  <w:p w14:paraId="39ACBB83" w14:textId="2E516DE4" w:rsidR="00066B01" w:rsidRPr="00066B01" w:rsidRDefault="00066B01" w:rsidP="00066B01">
                    <w:pPr>
                      <w:jc w:val="right"/>
                      <w:rPr>
                        <w:rFonts w:ascii="Calibri" w:hAnsi="Calibri" w:cs="Calibri"/>
                        <w:color w:val="0000FF"/>
                        <w:sz w:val="20"/>
                      </w:rPr>
                    </w:pPr>
                  </w:p>
                </w:txbxContent>
              </v:textbox>
              <w10:wrap anchorx="page" anchory="page"/>
            </v:shape>
          </w:pict>
        </mc:Fallback>
      </mc:AlternateContent>
    </w:r>
    <w:r w:rsidR="009D0613">
      <w:rPr>
        <w:noProof/>
        <w:lang w:val="en-GB" w:eastAsia="en-GB"/>
      </w:rPr>
      <w:drawing>
        <wp:inline distT="0" distB="0" distL="0" distR="0" wp14:anchorId="71030B6A" wp14:editId="1CD9DBDE">
          <wp:extent cx="6479540" cy="5715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jpg"/>
                  <pic:cNvPicPr/>
                </pic:nvPicPr>
                <pic:blipFill>
                  <a:blip r:embed="rId1">
                    <a:extLst>
                      <a:ext uri="{28A0092B-C50C-407E-A947-70E740481C1C}">
                        <a14:useLocalDpi xmlns:a14="http://schemas.microsoft.com/office/drawing/2010/main" val="0"/>
                      </a:ext>
                    </a:extLst>
                  </a:blip>
                  <a:stretch>
                    <a:fillRect/>
                  </a:stretch>
                </pic:blipFill>
                <pic:spPr>
                  <a:xfrm>
                    <a:off x="0" y="0"/>
                    <a:ext cx="6479540" cy="5715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1F756" w14:textId="77777777" w:rsidR="0095196F" w:rsidRDefault="0095196F" w:rsidP="008C4C01">
      <w:r>
        <w:separator/>
      </w:r>
    </w:p>
  </w:footnote>
  <w:footnote w:type="continuationSeparator" w:id="0">
    <w:p w14:paraId="623793A5" w14:textId="77777777" w:rsidR="0095196F" w:rsidRDefault="0095196F" w:rsidP="008C4C01">
      <w:r>
        <w:continuationSeparator/>
      </w:r>
    </w:p>
  </w:footnote>
  <w:footnote w:id="1">
    <w:p w14:paraId="76C811F8" w14:textId="77777777" w:rsidR="00BE1D53" w:rsidRPr="00F14345" w:rsidRDefault="00BE1D53" w:rsidP="00BE1D53">
      <w:pPr>
        <w:pStyle w:val="FootnoteText"/>
        <w:rPr>
          <w:rFonts w:ascii="BNPP Sans Light" w:hAnsi="BNPP Sans Light"/>
          <w:i/>
          <w:iCs/>
        </w:rPr>
      </w:pPr>
      <w:r w:rsidRPr="00F14345">
        <w:rPr>
          <w:rFonts w:ascii="BNPP Sans Light" w:hAnsi="BNPP Sans Light"/>
          <w:i/>
          <w:iCs/>
          <w:sz w:val="18"/>
          <w:szCs w:val="18"/>
        </w:rPr>
        <w:footnoteRef/>
      </w:r>
      <w:r w:rsidRPr="00F14345">
        <w:rPr>
          <w:rFonts w:ascii="BNPP Sans Light" w:hAnsi="BNPP Sans Light"/>
          <w:i/>
          <w:iCs/>
        </w:rPr>
        <w:t xml:space="preserve"> Source: Nombre de déclarations de secondes résidences – SPF Finances et estimations de BNP Paribas Fortis</w:t>
      </w:r>
    </w:p>
    <w:p w14:paraId="74664D67" w14:textId="77777777" w:rsidR="00BE1D53" w:rsidRPr="00456C3E" w:rsidRDefault="00BE1D53" w:rsidP="00BE1D53">
      <w:pPr>
        <w:pStyle w:val="FootnoteText"/>
      </w:pPr>
    </w:p>
  </w:footnote>
  <w:footnote w:id="2">
    <w:p w14:paraId="13B4616E" w14:textId="77777777" w:rsidR="00BE1D53" w:rsidRPr="005B51E8" w:rsidRDefault="00BE1D53" w:rsidP="00BE1D53">
      <w:pPr>
        <w:pStyle w:val="FootnoteText"/>
        <w:rPr>
          <w:rFonts w:ascii="BNPP Sans Light" w:hAnsi="BNPP Sans Light"/>
          <w:i/>
          <w:iCs/>
        </w:rPr>
      </w:pPr>
      <w:r w:rsidRPr="005B51E8">
        <w:rPr>
          <w:rFonts w:ascii="BNPP Sans Light" w:hAnsi="BNPP Sans Light"/>
          <w:i/>
          <w:iCs/>
          <w:sz w:val="18"/>
          <w:szCs w:val="18"/>
          <w:vertAlign w:val="superscript"/>
        </w:rPr>
        <w:footnoteRef/>
      </w:r>
      <w:r w:rsidRPr="005B51E8">
        <w:rPr>
          <w:rFonts w:ascii="BNPP Sans Light" w:hAnsi="BNPP Sans Light"/>
          <w:i/>
          <w:iCs/>
        </w:rPr>
        <w:t xml:space="preserve"> 56 communes se situant en totalité ou en partie dans les Ardennes belges</w:t>
      </w:r>
    </w:p>
    <w:p w14:paraId="0A0A79ED" w14:textId="77777777" w:rsidR="00BE1D53" w:rsidRPr="00157694" w:rsidRDefault="00BE1D53" w:rsidP="00BE1D53">
      <w:pPr>
        <w:pStyle w:val="FootnoteText"/>
        <w:rPr>
          <w:rFonts w:ascii="BNPP Sans Light" w:hAnsi="BNPP Sans Light"/>
          <w:i/>
          <w:iCs/>
          <w:lang w:val="fr-BE"/>
        </w:rPr>
      </w:pPr>
    </w:p>
  </w:footnote>
  <w:footnote w:id="3">
    <w:p w14:paraId="4EF43F15" w14:textId="247F0981" w:rsidR="00BE1D53" w:rsidRPr="00157694" w:rsidRDefault="00BE1D53" w:rsidP="00BE1D53">
      <w:pPr>
        <w:pStyle w:val="FootnoteText"/>
        <w:jc w:val="left"/>
        <w:rPr>
          <w:rFonts w:ascii="BNPP Sans Light" w:hAnsi="BNPP Sans Light"/>
          <w:i/>
          <w:iCs/>
          <w:lang w:val="nl-BE"/>
        </w:rPr>
      </w:pPr>
      <w:r w:rsidRPr="005B51E8">
        <w:rPr>
          <w:rStyle w:val="FootnoteReference"/>
          <w:rFonts w:ascii="BNPP Sans Light" w:hAnsi="BNPP Sans Light"/>
          <w:i/>
          <w:iCs/>
        </w:rPr>
        <w:footnoteRef/>
      </w:r>
      <w:r w:rsidR="00AA1748">
        <w:rPr>
          <w:rFonts w:ascii="BNPP Sans Light" w:hAnsi="BNPP Sans Light"/>
          <w:i/>
          <w:iCs/>
          <w:lang w:val="nl-BE"/>
        </w:rPr>
        <w:t xml:space="preserve"> </w:t>
      </w:r>
      <w:r w:rsidRPr="00157694">
        <w:rPr>
          <w:rFonts w:ascii="BNPP Sans Light" w:hAnsi="BNPP Sans Light"/>
          <w:i/>
          <w:iCs/>
          <w:lang w:val="nl-BE"/>
        </w:rPr>
        <w:t xml:space="preserve">10 </w:t>
      </w:r>
      <w:r w:rsidR="00382562">
        <w:rPr>
          <w:rFonts w:ascii="BNPP Sans Light" w:hAnsi="BNPP Sans Light"/>
          <w:i/>
          <w:iCs/>
          <w:lang w:val="nl-BE"/>
        </w:rPr>
        <w:t>commune</w:t>
      </w:r>
      <w:r w:rsidR="00AA1748">
        <w:rPr>
          <w:rFonts w:ascii="BNPP Sans Light" w:hAnsi="BNPP Sans Light"/>
          <w:i/>
          <w:iCs/>
          <w:lang w:val="nl-BE"/>
        </w:rPr>
        <w:t>s</w:t>
      </w:r>
      <w:r w:rsidR="00AA1748" w:rsidRPr="00157694">
        <w:rPr>
          <w:rFonts w:ascii="BNPP Sans Light" w:hAnsi="BNPP Sans Light"/>
          <w:i/>
          <w:iCs/>
          <w:lang w:val="nl-BE"/>
        </w:rPr>
        <w:t xml:space="preserve"> </w:t>
      </w:r>
      <w:proofErr w:type="spellStart"/>
      <w:r w:rsidRPr="00157694">
        <w:rPr>
          <w:rFonts w:ascii="BNPP Sans Light" w:hAnsi="BNPP Sans Light"/>
          <w:i/>
          <w:iCs/>
          <w:lang w:val="nl-BE"/>
        </w:rPr>
        <w:t>balnéaires</w:t>
      </w:r>
      <w:proofErr w:type="spellEnd"/>
      <w:r w:rsidR="00C670CC">
        <w:rPr>
          <w:rFonts w:ascii="Calibri" w:hAnsi="Calibri" w:cs="Calibri"/>
          <w:i/>
          <w:iCs/>
          <w:lang w:val="nl-BE"/>
        </w:rPr>
        <w:t> </w:t>
      </w:r>
      <w:r w:rsidRPr="00157694">
        <w:rPr>
          <w:rFonts w:ascii="BNPP Sans Light" w:hAnsi="BNPP Sans Light"/>
          <w:i/>
          <w:iCs/>
          <w:lang w:val="nl-BE"/>
        </w:rPr>
        <w:t xml:space="preserve">: Blankenberge, Bredene, Le </w:t>
      </w:r>
      <w:proofErr w:type="spellStart"/>
      <w:r w:rsidRPr="00157694">
        <w:rPr>
          <w:rFonts w:ascii="BNPP Sans Light" w:hAnsi="BNPP Sans Light"/>
          <w:i/>
          <w:iCs/>
          <w:lang w:val="nl-BE"/>
        </w:rPr>
        <w:t>Coq</w:t>
      </w:r>
      <w:proofErr w:type="spellEnd"/>
      <w:r w:rsidRPr="00157694">
        <w:rPr>
          <w:rFonts w:ascii="BNPP Sans Light" w:hAnsi="BNPP Sans Light"/>
          <w:i/>
          <w:iCs/>
          <w:lang w:val="nl-BE"/>
        </w:rPr>
        <w:t xml:space="preserve">, La Panne, Knokke-Heist, </w:t>
      </w:r>
      <w:proofErr w:type="spellStart"/>
      <w:r w:rsidRPr="00157694">
        <w:rPr>
          <w:rFonts w:ascii="BNPP Sans Light" w:hAnsi="BNPP Sans Light"/>
          <w:i/>
          <w:iCs/>
          <w:lang w:val="nl-BE"/>
        </w:rPr>
        <w:t>Coxyde</w:t>
      </w:r>
      <w:proofErr w:type="spellEnd"/>
      <w:r w:rsidRPr="00157694">
        <w:rPr>
          <w:rFonts w:ascii="BNPP Sans Light" w:hAnsi="BNPP Sans Light"/>
          <w:i/>
          <w:iCs/>
          <w:lang w:val="nl-BE"/>
        </w:rPr>
        <w:t xml:space="preserve">, Middelkerke, </w:t>
      </w:r>
      <w:proofErr w:type="spellStart"/>
      <w:r w:rsidRPr="00157694">
        <w:rPr>
          <w:rFonts w:ascii="BNPP Sans Light" w:hAnsi="BNPP Sans Light"/>
          <w:i/>
          <w:iCs/>
          <w:lang w:val="nl-BE"/>
        </w:rPr>
        <w:t>Nieuport</w:t>
      </w:r>
      <w:proofErr w:type="spellEnd"/>
      <w:r w:rsidRPr="00157694">
        <w:rPr>
          <w:rFonts w:ascii="BNPP Sans Light" w:hAnsi="BNPP Sans Light"/>
          <w:i/>
          <w:iCs/>
          <w:lang w:val="nl-BE"/>
        </w:rPr>
        <w:t xml:space="preserve">, </w:t>
      </w:r>
      <w:proofErr w:type="spellStart"/>
      <w:r w:rsidRPr="00157694">
        <w:rPr>
          <w:rFonts w:ascii="BNPP Sans Light" w:hAnsi="BNPP Sans Light"/>
          <w:i/>
          <w:iCs/>
          <w:lang w:val="nl-BE"/>
        </w:rPr>
        <w:t>Ostende</w:t>
      </w:r>
      <w:proofErr w:type="spellEnd"/>
      <w:r w:rsidRPr="00157694">
        <w:rPr>
          <w:rFonts w:ascii="BNPP Sans Light" w:hAnsi="BNPP Sans Light"/>
          <w:i/>
          <w:iCs/>
          <w:lang w:val="nl-BE"/>
        </w:rPr>
        <w:t>, Zeebrugge</w:t>
      </w:r>
    </w:p>
    <w:p w14:paraId="0B24D522" w14:textId="77777777" w:rsidR="00BE1D53" w:rsidRPr="005B51E8" w:rsidRDefault="00BE1D53" w:rsidP="00BE1D53">
      <w:pPr>
        <w:pStyle w:val="FootnoteText"/>
        <w:jc w:val="left"/>
        <w:rPr>
          <w:rFonts w:ascii="BNPP Sans Light" w:hAnsi="BNPP Sans Light"/>
          <w:i/>
          <w:iCs/>
          <w:lang w:val="nl-BE"/>
        </w:rPr>
      </w:pPr>
    </w:p>
  </w:footnote>
  <w:footnote w:id="4">
    <w:p w14:paraId="1F113E4A" w14:textId="77777777" w:rsidR="00BE1D53" w:rsidRPr="00157694" w:rsidRDefault="00BE1D53" w:rsidP="00BE1D53">
      <w:pPr>
        <w:pStyle w:val="FootnoteText"/>
        <w:rPr>
          <w:rFonts w:ascii="BNPP Sans Light" w:hAnsi="BNPP Sans Light"/>
          <w:i/>
          <w:iCs/>
          <w:lang w:val="fr-BE"/>
        </w:rPr>
      </w:pPr>
      <w:r w:rsidRPr="005B51E8">
        <w:rPr>
          <w:rStyle w:val="FootnoteReference"/>
          <w:rFonts w:ascii="BNPP Sans Light" w:hAnsi="BNPP Sans Light"/>
          <w:i/>
          <w:iCs/>
        </w:rPr>
        <w:footnoteRef/>
      </w:r>
      <w:r w:rsidRPr="00157694">
        <w:rPr>
          <w:rFonts w:ascii="BNPP Sans Light" w:hAnsi="BNPP Sans Light"/>
          <w:i/>
          <w:iCs/>
          <w:lang w:val="fr-BE"/>
        </w:rPr>
        <w:t xml:space="preserve"> Les 19 communes de la Région de Bruxelles-Capitale</w:t>
      </w:r>
    </w:p>
    <w:p w14:paraId="738F548D" w14:textId="77777777" w:rsidR="00BE1D53" w:rsidRPr="00157694" w:rsidRDefault="00BE1D53" w:rsidP="00BE1D53">
      <w:pPr>
        <w:pStyle w:val="FootnoteText"/>
        <w:rPr>
          <w:lang w:val="fr-BE"/>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070"/>
    <w:rsid w:val="0006620F"/>
    <w:rsid w:val="00066B01"/>
    <w:rsid w:val="00081070"/>
    <w:rsid w:val="001042AB"/>
    <w:rsid w:val="00107B3C"/>
    <w:rsid w:val="00116B23"/>
    <w:rsid w:val="00134A48"/>
    <w:rsid w:val="00157694"/>
    <w:rsid w:val="00161CB7"/>
    <w:rsid w:val="001868AC"/>
    <w:rsid w:val="001B2EB0"/>
    <w:rsid w:val="00217D69"/>
    <w:rsid w:val="00232E66"/>
    <w:rsid w:val="00232F39"/>
    <w:rsid w:val="0027625F"/>
    <w:rsid w:val="002C15E8"/>
    <w:rsid w:val="003041A4"/>
    <w:rsid w:val="003108AB"/>
    <w:rsid w:val="00336245"/>
    <w:rsid w:val="003603C6"/>
    <w:rsid w:val="00382562"/>
    <w:rsid w:val="003A1ACF"/>
    <w:rsid w:val="003E3ED0"/>
    <w:rsid w:val="0042340B"/>
    <w:rsid w:val="004733E7"/>
    <w:rsid w:val="0050559D"/>
    <w:rsid w:val="00513D6C"/>
    <w:rsid w:val="00583B4F"/>
    <w:rsid w:val="005A2563"/>
    <w:rsid w:val="005A5386"/>
    <w:rsid w:val="005D7913"/>
    <w:rsid w:val="005E7CDC"/>
    <w:rsid w:val="00611E7C"/>
    <w:rsid w:val="006852A3"/>
    <w:rsid w:val="00686D90"/>
    <w:rsid w:val="00697AA7"/>
    <w:rsid w:val="00750ABF"/>
    <w:rsid w:val="007A3930"/>
    <w:rsid w:val="007F155B"/>
    <w:rsid w:val="00860DC9"/>
    <w:rsid w:val="008C4C01"/>
    <w:rsid w:val="008E1631"/>
    <w:rsid w:val="008E33CA"/>
    <w:rsid w:val="008F7983"/>
    <w:rsid w:val="0095196F"/>
    <w:rsid w:val="009528D7"/>
    <w:rsid w:val="00980655"/>
    <w:rsid w:val="00991878"/>
    <w:rsid w:val="00995355"/>
    <w:rsid w:val="009D0613"/>
    <w:rsid w:val="009F0F84"/>
    <w:rsid w:val="00A90D2D"/>
    <w:rsid w:val="00AA1748"/>
    <w:rsid w:val="00AD7831"/>
    <w:rsid w:val="00B138C5"/>
    <w:rsid w:val="00B202A9"/>
    <w:rsid w:val="00B92E8B"/>
    <w:rsid w:val="00BB03DD"/>
    <w:rsid w:val="00BC30C2"/>
    <w:rsid w:val="00BD7BAA"/>
    <w:rsid w:val="00BE1D53"/>
    <w:rsid w:val="00C217F5"/>
    <w:rsid w:val="00C42098"/>
    <w:rsid w:val="00C670CC"/>
    <w:rsid w:val="00C972EB"/>
    <w:rsid w:val="00CA3A51"/>
    <w:rsid w:val="00CF4E39"/>
    <w:rsid w:val="00D061B6"/>
    <w:rsid w:val="00D122BC"/>
    <w:rsid w:val="00D27AD2"/>
    <w:rsid w:val="00D50196"/>
    <w:rsid w:val="00D52E1A"/>
    <w:rsid w:val="00D54116"/>
    <w:rsid w:val="00D7230D"/>
    <w:rsid w:val="00D742A6"/>
    <w:rsid w:val="00D807BB"/>
    <w:rsid w:val="00D96457"/>
    <w:rsid w:val="00DA7327"/>
    <w:rsid w:val="00E215DF"/>
    <w:rsid w:val="00E37B92"/>
    <w:rsid w:val="00E648F7"/>
    <w:rsid w:val="00E839E8"/>
    <w:rsid w:val="00E91104"/>
    <w:rsid w:val="00F14345"/>
    <w:rsid w:val="00FB05F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00072A"/>
  <w15:docId w15:val="{B4E249FF-874A-47D1-AAE7-F735E4E0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C01"/>
    <w:pPr>
      <w:spacing w:line="264" w:lineRule="auto"/>
      <w:jc w:val="both"/>
    </w:pPr>
    <w:rPr>
      <w:rFonts w:asciiTheme="minorHAnsi" w:hAnsiTheme="minorHAnsi"/>
      <w:sz w:val="24"/>
    </w:rPr>
  </w:style>
  <w:style w:type="paragraph" w:styleId="Heading1">
    <w:name w:val="heading 1"/>
    <w:basedOn w:val="Normal"/>
    <w:next w:val="Normal"/>
    <w:link w:val="Heading1Char"/>
    <w:uiPriority w:val="9"/>
    <w:qFormat/>
    <w:rsid w:val="00D54116"/>
    <w:pPr>
      <w:keepNext/>
      <w:keepLines/>
      <w:spacing w:before="480"/>
      <w:outlineLvl w:val="0"/>
    </w:pPr>
    <w:rPr>
      <w:rFonts w:asciiTheme="majorHAnsi" w:eastAsiaTheme="majorEastAsia" w:hAnsiTheme="majorHAnsi" w:cstheme="majorBidi"/>
      <w:b/>
      <w:bCs/>
      <w:color w:val="00A76C" w:themeColor="accent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116"/>
    <w:rPr>
      <w:color w:val="00A76C" w:themeColor="accent6"/>
      <w:u w:val="none"/>
    </w:rPr>
  </w:style>
  <w:style w:type="character" w:customStyle="1" w:styleId="Heading1Char">
    <w:name w:val="Heading 1 Char"/>
    <w:basedOn w:val="DefaultParagraphFont"/>
    <w:link w:val="Heading1"/>
    <w:uiPriority w:val="9"/>
    <w:rsid w:val="00D54116"/>
    <w:rPr>
      <w:rFonts w:asciiTheme="majorHAnsi" w:eastAsiaTheme="majorEastAsia" w:hAnsiTheme="majorHAnsi" w:cstheme="majorBidi"/>
      <w:b/>
      <w:bCs/>
      <w:color w:val="00A76C" w:themeColor="accent6"/>
      <w:sz w:val="28"/>
      <w:szCs w:val="28"/>
    </w:rPr>
  </w:style>
  <w:style w:type="paragraph" w:styleId="Footer">
    <w:name w:val="footer"/>
    <w:basedOn w:val="Normal"/>
    <w:link w:val="FooterChar"/>
    <w:uiPriority w:val="99"/>
    <w:unhideWhenUsed/>
    <w:rsid w:val="00E839E8"/>
    <w:pPr>
      <w:tabs>
        <w:tab w:val="center" w:pos="4536"/>
        <w:tab w:val="right" w:pos="9072"/>
      </w:tabs>
    </w:pPr>
    <w:rPr>
      <w:sz w:val="12"/>
    </w:rPr>
  </w:style>
  <w:style w:type="character" w:customStyle="1" w:styleId="FooterChar">
    <w:name w:val="Footer Char"/>
    <w:basedOn w:val="DefaultParagraphFont"/>
    <w:link w:val="Footer"/>
    <w:uiPriority w:val="99"/>
    <w:rsid w:val="00E839E8"/>
    <w:rPr>
      <w:rFonts w:asciiTheme="minorHAnsi" w:hAnsiTheme="minorHAnsi"/>
      <w:sz w:val="12"/>
    </w:rPr>
  </w:style>
  <w:style w:type="paragraph" w:customStyle="1" w:styleId="Pied-mentions-G">
    <w:name w:val="Pied-mentions-G"/>
    <w:basedOn w:val="Footer"/>
    <w:qFormat/>
    <w:rsid w:val="002C15E8"/>
    <w:pPr>
      <w:tabs>
        <w:tab w:val="clear" w:pos="4536"/>
        <w:tab w:val="clear" w:pos="9072"/>
        <w:tab w:val="center" w:pos="5245"/>
        <w:tab w:val="right" w:pos="10632"/>
      </w:tabs>
    </w:pPr>
    <w:rPr>
      <w:sz w:val="16"/>
      <w:szCs w:val="16"/>
    </w:rPr>
  </w:style>
  <w:style w:type="paragraph" w:customStyle="1" w:styleId="Pied-mentions-M">
    <w:name w:val="Pied-mentions-M"/>
    <w:basedOn w:val="Footer"/>
    <w:qFormat/>
    <w:rsid w:val="002C15E8"/>
    <w:pPr>
      <w:tabs>
        <w:tab w:val="clear" w:pos="4536"/>
        <w:tab w:val="clear" w:pos="9072"/>
        <w:tab w:val="center" w:pos="5245"/>
        <w:tab w:val="right" w:pos="10632"/>
      </w:tabs>
      <w:jc w:val="center"/>
    </w:pPr>
    <w:rPr>
      <w:color w:val="939598" w:themeColor="text2"/>
      <w:sz w:val="16"/>
      <w:szCs w:val="16"/>
    </w:rPr>
  </w:style>
  <w:style w:type="paragraph" w:styleId="Title">
    <w:name w:val="Title"/>
    <w:basedOn w:val="Normal"/>
    <w:next w:val="Normal"/>
    <w:link w:val="TitleChar"/>
    <w:uiPriority w:val="10"/>
    <w:qFormat/>
    <w:rsid w:val="00860DC9"/>
    <w:pPr>
      <w:spacing w:line="240" w:lineRule="auto"/>
      <w:contextualSpacing/>
      <w:jc w:val="center"/>
    </w:pPr>
    <w:rPr>
      <w:rFonts w:ascii="BNPP Sans" w:eastAsiaTheme="majorEastAsia" w:hAnsi="BNPP Sans" w:cstheme="majorBidi"/>
      <w:b/>
      <w:spacing w:val="5"/>
      <w:kern w:val="28"/>
      <w:sz w:val="36"/>
      <w:szCs w:val="36"/>
    </w:rPr>
  </w:style>
  <w:style w:type="paragraph" w:styleId="Subtitle">
    <w:name w:val="Subtitle"/>
    <w:basedOn w:val="Normal"/>
    <w:next w:val="Normal"/>
    <w:link w:val="SubtitleChar"/>
    <w:uiPriority w:val="11"/>
    <w:qFormat/>
    <w:rsid w:val="00991878"/>
    <w:pPr>
      <w:jc w:val="center"/>
    </w:pPr>
    <w:rPr>
      <w:b/>
      <w:caps/>
      <w:noProof/>
      <w:color w:val="FFFFFF" w:themeColor="background1"/>
      <w:szCs w:val="16"/>
      <w:lang w:eastAsia="fr-FR"/>
    </w:rPr>
  </w:style>
  <w:style w:type="character" w:customStyle="1" w:styleId="SubtitleChar">
    <w:name w:val="Subtitle Char"/>
    <w:basedOn w:val="DefaultParagraphFont"/>
    <w:link w:val="Subtitle"/>
    <w:uiPriority w:val="11"/>
    <w:rsid w:val="00991878"/>
    <w:rPr>
      <w:rFonts w:asciiTheme="minorHAnsi" w:hAnsiTheme="minorHAnsi"/>
      <w:b/>
      <w:caps/>
      <w:noProof/>
      <w:color w:val="FFFFFF" w:themeColor="background1"/>
      <w:sz w:val="24"/>
      <w:szCs w:val="16"/>
      <w:lang w:eastAsia="fr-FR"/>
    </w:rPr>
  </w:style>
  <w:style w:type="paragraph" w:styleId="Header">
    <w:name w:val="header"/>
    <w:basedOn w:val="Normal"/>
    <w:link w:val="HeaderChar"/>
    <w:uiPriority w:val="99"/>
    <w:unhideWhenUsed/>
    <w:rsid w:val="00161CB7"/>
    <w:pPr>
      <w:tabs>
        <w:tab w:val="center" w:pos="4536"/>
        <w:tab w:val="right" w:pos="9072"/>
      </w:tabs>
    </w:pPr>
  </w:style>
  <w:style w:type="character" w:customStyle="1" w:styleId="HeaderChar">
    <w:name w:val="Header Char"/>
    <w:basedOn w:val="DefaultParagraphFont"/>
    <w:link w:val="Header"/>
    <w:uiPriority w:val="99"/>
    <w:rsid w:val="00161CB7"/>
    <w:rPr>
      <w:rFonts w:asciiTheme="minorHAnsi" w:hAnsiTheme="minorHAnsi"/>
    </w:rPr>
  </w:style>
  <w:style w:type="paragraph" w:styleId="BalloonText">
    <w:name w:val="Balloon Text"/>
    <w:basedOn w:val="Normal"/>
    <w:link w:val="BalloonTextChar"/>
    <w:uiPriority w:val="99"/>
    <w:semiHidden/>
    <w:unhideWhenUsed/>
    <w:rsid w:val="00336245"/>
    <w:rPr>
      <w:rFonts w:ascii="Tahoma" w:hAnsi="Tahoma" w:cs="Tahoma"/>
      <w:sz w:val="16"/>
      <w:szCs w:val="16"/>
    </w:rPr>
  </w:style>
  <w:style w:type="character" w:customStyle="1" w:styleId="BalloonTextChar">
    <w:name w:val="Balloon Text Char"/>
    <w:basedOn w:val="DefaultParagraphFont"/>
    <w:link w:val="BalloonText"/>
    <w:uiPriority w:val="99"/>
    <w:semiHidden/>
    <w:rsid w:val="00336245"/>
    <w:rPr>
      <w:rFonts w:ascii="Tahoma" w:hAnsi="Tahoma" w:cs="Tahoma"/>
      <w:sz w:val="16"/>
      <w:szCs w:val="16"/>
    </w:rPr>
  </w:style>
  <w:style w:type="character" w:customStyle="1" w:styleId="TitleChar">
    <w:name w:val="Title Char"/>
    <w:basedOn w:val="DefaultParagraphFont"/>
    <w:link w:val="Title"/>
    <w:uiPriority w:val="10"/>
    <w:rsid w:val="00860DC9"/>
    <w:rPr>
      <w:rFonts w:ascii="BNPP Sans" w:eastAsiaTheme="majorEastAsia" w:hAnsi="BNPP Sans" w:cstheme="majorBidi"/>
      <w:b/>
      <w:spacing w:val="5"/>
      <w:kern w:val="28"/>
      <w:sz w:val="36"/>
      <w:szCs w:val="36"/>
    </w:rPr>
  </w:style>
  <w:style w:type="character" w:styleId="FollowedHyperlink">
    <w:name w:val="FollowedHyperlink"/>
    <w:basedOn w:val="DefaultParagraphFont"/>
    <w:uiPriority w:val="99"/>
    <w:semiHidden/>
    <w:unhideWhenUsed/>
    <w:rsid w:val="00B92E8B"/>
    <w:rPr>
      <w:color w:val="3C9146" w:themeColor="followedHyperlink"/>
      <w:u w:val="single"/>
    </w:rPr>
  </w:style>
  <w:style w:type="character" w:styleId="Emphasis">
    <w:name w:val="Emphasis"/>
    <w:basedOn w:val="DefaultParagraphFont"/>
    <w:uiPriority w:val="20"/>
    <w:qFormat/>
    <w:rsid w:val="00CA3A51"/>
    <w:rPr>
      <w:i/>
      <w:iCs/>
    </w:rPr>
  </w:style>
  <w:style w:type="paragraph" w:styleId="FootnoteText">
    <w:name w:val="footnote text"/>
    <w:basedOn w:val="Normal"/>
    <w:link w:val="FootnoteTextChar"/>
    <w:uiPriority w:val="99"/>
    <w:semiHidden/>
    <w:unhideWhenUsed/>
    <w:rsid w:val="00BE1D53"/>
    <w:pPr>
      <w:spacing w:line="240" w:lineRule="auto"/>
    </w:pPr>
    <w:rPr>
      <w:sz w:val="20"/>
    </w:rPr>
  </w:style>
  <w:style w:type="character" w:customStyle="1" w:styleId="FootnoteTextChar">
    <w:name w:val="Footnote Text Char"/>
    <w:basedOn w:val="DefaultParagraphFont"/>
    <w:link w:val="FootnoteText"/>
    <w:uiPriority w:val="99"/>
    <w:semiHidden/>
    <w:rsid w:val="00BE1D53"/>
    <w:rPr>
      <w:rFonts w:asciiTheme="minorHAnsi" w:hAnsiTheme="minorHAnsi"/>
    </w:rPr>
  </w:style>
  <w:style w:type="character" w:styleId="FootnoteReference">
    <w:name w:val="footnote reference"/>
    <w:basedOn w:val="DefaultParagraphFont"/>
    <w:uiPriority w:val="99"/>
    <w:semiHidden/>
    <w:unhideWhenUsed/>
    <w:rsid w:val="00BE1D53"/>
    <w:rPr>
      <w:vertAlign w:val="superscript"/>
    </w:rPr>
  </w:style>
  <w:style w:type="table" w:styleId="TableGrid">
    <w:name w:val="Table Grid"/>
    <w:basedOn w:val="TableNormal"/>
    <w:uiPriority w:val="59"/>
    <w:rsid w:val="00BE1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733E7"/>
    <w:rPr>
      <w:color w:val="605E5C"/>
      <w:shd w:val="clear" w:color="auto" w:fill="E1DFDD"/>
    </w:rPr>
  </w:style>
  <w:style w:type="paragraph" w:styleId="Revision">
    <w:name w:val="Revision"/>
    <w:hidden/>
    <w:uiPriority w:val="99"/>
    <w:semiHidden/>
    <w:rsid w:val="00217D69"/>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0135">
      <w:bodyDiv w:val="1"/>
      <w:marLeft w:val="0"/>
      <w:marRight w:val="0"/>
      <w:marTop w:val="0"/>
      <w:marBottom w:val="0"/>
      <w:divBdr>
        <w:top w:val="none" w:sz="0" w:space="0" w:color="auto"/>
        <w:left w:val="none" w:sz="0" w:space="0" w:color="auto"/>
        <w:bottom w:val="none" w:sz="0" w:space="0" w:color="auto"/>
        <w:right w:val="none" w:sz="0" w:space="0" w:color="auto"/>
      </w:divBdr>
    </w:div>
    <w:div w:id="188686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pparibas.com" TargetMode="External"/><Relationship Id="rId3" Type="http://schemas.openxmlformats.org/officeDocument/2006/relationships/webSettings" Target="webSettings.xml"/><Relationship Id="rId7" Type="http://schemas.openxmlformats.org/officeDocument/2006/relationships/hyperlink" Target="http://www.bnpparibasforti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roen.petrus@bnpparibasfortis.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74863\AppData\Local\Temp\notes0A895E\CPresse.dotx" TargetMode="External"/></Relationships>
</file>

<file path=word/theme/theme1.xml><?xml version="1.0" encoding="utf-8"?>
<a:theme xmlns:a="http://schemas.openxmlformats.org/drawingml/2006/main" name="BNPP">
  <a:themeElements>
    <a:clrScheme name="BNPP">
      <a:dk1>
        <a:srgbClr val="000000"/>
      </a:dk1>
      <a:lt1>
        <a:srgbClr val="FFFFFF"/>
      </a:lt1>
      <a:dk2>
        <a:srgbClr val="939598"/>
      </a:dk2>
      <a:lt2>
        <a:srgbClr val="F0F0F0"/>
      </a:lt2>
      <a:accent1>
        <a:srgbClr val="00A76C"/>
      </a:accent1>
      <a:accent2>
        <a:srgbClr val="82A44A"/>
      </a:accent2>
      <a:accent3>
        <a:srgbClr val="BFBFBF"/>
      </a:accent3>
      <a:accent4>
        <a:srgbClr val="D2DCAA"/>
      </a:accent4>
      <a:accent5>
        <a:srgbClr val="A0C873"/>
      </a:accent5>
      <a:accent6>
        <a:srgbClr val="00A76C"/>
      </a:accent6>
      <a:hlink>
        <a:srgbClr val="A0C873"/>
      </a:hlink>
      <a:folHlink>
        <a:srgbClr val="3C9146"/>
      </a:folHlink>
    </a:clrScheme>
    <a:fontScheme name="BNPP">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3175">
          <a:noFill/>
        </a:ln>
      </a:spPr>
      <a:bodyPr rot="0" spcFirstLastPara="0" vertOverflow="overflow" horzOverflow="overflow" vert="horz" wrap="square" lIns="91440" tIns="90000" rIns="91440" bIns="90000" numCol="1" spcCol="0" rtlCol="0" fromWordArt="0" anchor="ctr" anchorCtr="0" forceAA="0" compatLnSpc="1">
        <a:prstTxWarp prst="textNoShape">
          <a:avLst/>
        </a:prstTxWarp>
        <a:noAutofit/>
      </a:bodyPr>
      <a:lstStyle>
        <a:defPPr algn="ctr">
          <a:defRPr sz="1400"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solidFill>
              <a:schemeClr val="accent4"/>
            </a:solidFill>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CPresse.dotx</Template>
  <TotalTime>0</TotalTime>
  <Pages>4</Pages>
  <Words>1486</Words>
  <Characters>8176</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474863</dc:creator>
  <cp:lastModifiedBy>Halloy Valery</cp:lastModifiedBy>
  <cp:revision>7</cp:revision>
  <cp:lastPrinted>2015-05-18T07:06:00Z</cp:lastPrinted>
  <dcterms:created xsi:type="dcterms:W3CDTF">2023-06-29T08:14:00Z</dcterms:created>
  <dcterms:modified xsi:type="dcterms:W3CDTF">2023-06-29T10:13:00Z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ed5431-0ab7-4c1b-98f4-d4e50f674d02_Enabled">
    <vt:lpwstr>true</vt:lpwstr>
  </property>
  <property fmtid="{D5CDD505-2E9C-101B-9397-08002B2CF9AE}" pid="3" name="MSIP_Label_48ed5431-0ab7-4c1b-98f4-d4e50f674d02_SetDate">
    <vt:lpwstr>2023-06-29T10:11:52Z</vt:lpwstr>
  </property>
  <property fmtid="{D5CDD505-2E9C-101B-9397-08002B2CF9AE}" pid="4" name="MSIP_Label_48ed5431-0ab7-4c1b-98f4-d4e50f674d02_Method">
    <vt:lpwstr>Privileged</vt:lpwstr>
  </property>
  <property fmtid="{D5CDD505-2E9C-101B-9397-08002B2CF9AE}" pid="5" name="MSIP_Label_48ed5431-0ab7-4c1b-98f4-d4e50f674d02_Name">
    <vt:lpwstr>48ed5431-0ab7-4c1b-98f4-d4e50f674d02</vt:lpwstr>
  </property>
  <property fmtid="{D5CDD505-2E9C-101B-9397-08002B2CF9AE}" pid="6" name="MSIP_Label_48ed5431-0ab7-4c1b-98f4-d4e50f674d02_SiteId">
    <vt:lpwstr>614f9c25-bffa-42c7-86d8-964101f55fa2</vt:lpwstr>
  </property>
  <property fmtid="{D5CDD505-2E9C-101B-9397-08002B2CF9AE}" pid="7" name="MSIP_Label_48ed5431-0ab7-4c1b-98f4-d4e50f674d02_ActionId">
    <vt:lpwstr>cd987d4d-bc60-423d-97a1-d9964091fa90</vt:lpwstr>
  </property>
  <property fmtid="{D5CDD505-2E9C-101B-9397-08002B2CF9AE}" pid="8" name="MSIP_Label_48ed5431-0ab7-4c1b-98f4-d4e50f674d02_ContentBits">
    <vt:lpwstr>0</vt:lpwstr>
  </property>
</Properties>
</file>